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hint="eastAsia" w:ascii="Times New Roman" w:eastAsia="黑体" w:cs="Times New Roman"/>
          <w:b/>
          <w:sz w:val="32"/>
          <w:szCs w:val="32"/>
        </w:rPr>
        <w:t>《模具材料及热处理》课程教学大纲</w:t>
      </w:r>
    </w:p>
    <w:p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一、课程简介</w:t>
      </w:r>
    </w:p>
    <w:tbl>
      <w:tblPr>
        <w:tblStyle w:val="11"/>
        <w:tblW w:w="4996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1848"/>
        <w:gridCol w:w="1386"/>
        <w:gridCol w:w="1243"/>
        <w:gridCol w:w="685"/>
        <w:gridCol w:w="500"/>
        <w:gridCol w:w="726"/>
        <w:gridCol w:w="14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98" w:type="pct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模具材料及热处理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798" w:type="pct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Die material and heat treatment</w:t>
            </w:r>
          </w:p>
        </w:tc>
        <w:tc>
          <w:tcPr>
            <w:tcW w:w="660" w:type="pct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Wingdings"/>
                <w:kern w:val="2"/>
                <w:sz w:val="21"/>
                <w:szCs w:val="20"/>
                <w:lang w:bidi="ar"/>
              </w:rPr>
              <w:sym w:font="Wingdings" w:char="F0FE"/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798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仿宋" w:hAnsi="仿宋" w:eastAsia="仿宋"/>
              </w:rPr>
              <w:t>21112008</w:t>
            </w:r>
          </w:p>
        </w:tc>
        <w:tc>
          <w:tcPr>
            <w:tcW w:w="746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□通识教育课程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□公共基础课程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"/>
                <w:kern w:val="2"/>
                <w:sz w:val="21"/>
                <w:szCs w:val="20"/>
                <w:lang w:bidi="ar"/>
              </w:rPr>
              <w:sym w:font="Wingdings" w:char="F0FE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专业教育课程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□综合实践课程</w:t>
            </w:r>
          </w:p>
          <w:p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"/>
                <w:kern w:val="2"/>
                <w:sz w:val="21"/>
                <w:szCs w:val="20"/>
                <w:lang w:bidi="ar"/>
              </w:rPr>
              <w:sym w:font="Wingdings" w:char="F0FE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必修</w:t>
            </w:r>
          </w:p>
          <w:p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□选修</w:t>
            </w:r>
          </w:p>
          <w:p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□线上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"/>
                <w:kern w:val="2"/>
                <w:sz w:val="21"/>
                <w:szCs w:val="20"/>
                <w:lang w:bidi="ar"/>
              </w:rPr>
              <w:sym w:font="Wingdings" w:char="F0FE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线下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□线上线下混合式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□社会实践</w:t>
            </w:r>
          </w:p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"/>
                <w:kern w:val="2"/>
                <w:sz w:val="21"/>
                <w:szCs w:val="20"/>
                <w:lang w:bidi="ar"/>
              </w:rPr>
              <w:sym w:font="Wingdings" w:char="F0FE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闭卷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□开卷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□课程论文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□课程作品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□汇报展示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□报告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课堂表现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阶段性测试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平时作业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hAnsi="宋体"/>
                <w:sz w:val="21"/>
                <w:szCs w:val="21"/>
                <w:lang w:bidi="ar"/>
              </w:rPr>
              <w:t>其他</w:t>
            </w:r>
            <w:r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  <w:lang w:bidi="ar"/>
              </w:rPr>
              <w:t>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798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材料学院</w:t>
            </w:r>
          </w:p>
        </w:tc>
        <w:tc>
          <w:tcPr>
            <w:tcW w:w="66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</w:t>
            </w:r>
          </w:p>
          <w:p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材料加工系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98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>
            <w:pPr>
              <w:spacing w:line="360" w:lineRule="auto"/>
              <w:ind w:left="502" w:leftChars="228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材料成型及控制工程</w:t>
            </w:r>
          </w:p>
        </w:tc>
        <w:tc>
          <w:tcPr>
            <w:tcW w:w="66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第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8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杨登辉</w:t>
            </w:r>
          </w:p>
        </w:tc>
        <w:tc>
          <w:tcPr>
            <w:tcW w:w="669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戴甲洪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98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材料科学基础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毕业设计（论文）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hAnsi="宋体"/>
                <w:szCs w:val="21"/>
              </w:rPr>
              <w:t>模具材料及热处理（第三版）</w:t>
            </w:r>
            <w:r>
              <w:rPr>
                <w:rFonts w:hAnsi="宋体"/>
                <w:szCs w:val="21"/>
              </w:rPr>
              <w:t>.</w:t>
            </w:r>
            <w:r>
              <w:rPr>
                <w:rFonts w:hint="eastAsia" w:hAnsi="宋体"/>
                <w:szCs w:val="21"/>
              </w:rPr>
              <w:t>李奇主编</w:t>
            </w:r>
            <w:r>
              <w:rPr>
                <w:rFonts w:hAnsi="宋体"/>
                <w:szCs w:val="21"/>
              </w:rPr>
              <w:t>.</w:t>
            </w:r>
            <w:r>
              <w:rPr>
                <w:rFonts w:hint="eastAsia" w:hAnsi="宋体"/>
                <w:szCs w:val="21"/>
              </w:rPr>
              <w:t>北京理工大学出版社</w:t>
            </w:r>
            <w:r>
              <w:rPr>
                <w:rFonts w:hAnsi="宋体"/>
                <w:szCs w:val="21"/>
              </w:rPr>
              <w:t>,2012</w:t>
            </w:r>
            <w:r>
              <w:rPr>
                <w:rFonts w:hint="eastAsia" w:hAnsi="宋体"/>
                <w:szCs w:val="21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798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1 模具材料与热处理（第一版）.张金凤主编.机械工业出版社,2010年.</w:t>
            </w:r>
          </w:p>
          <w:p>
            <w:pPr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2 模具设计与制造（第一版）.田光辉，林红旗主编.北京大学出版社,2009年.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"https://www.icourse163.org/spoc/course/TSNC-1451566216?tid=1451991484" </w:instrText>
            </w:r>
            <w:r>
              <w:fldChar w:fldCharType="separate"/>
            </w:r>
            <w:r>
              <w:rPr>
                <w:rStyle w:val="14"/>
                <w:rFonts w:ascii="Times New Roman" w:cs="Times New Roman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模具材料与热处理_天水师范学院_中国大学MOOC(慕课) (icourse163.org)</w:t>
            </w:r>
            <w:r>
              <w:rPr>
                <w:rStyle w:val="14"/>
                <w:rFonts w:ascii="Times New Roman" w:cs="Times New Roman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《模具材料与热处理》是材料控制与成型专业的一本基础课程，其主要内容包含金属的性能，金属学的基础知识，钢的热处理，常用模具钢材料的牌号等。通过该课程学习，学生能运用模具材料与热处理的基本知识，为学习专业理论及专业技能打好基础，学生能运用热处理方法及原则、模具表面处理技术，合理选择材料、能够进行失效分析、通过设计热处理工艺获得产品性能改进的能力。</w:t>
            </w:r>
          </w:p>
        </w:tc>
      </w:tr>
    </w:tbl>
    <w:p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</w:p>
    <w:p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</w:p>
    <w:p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二、课程目标</w:t>
      </w:r>
    </w:p>
    <w:p>
      <w:pPr>
        <w:pStyle w:val="42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hint="eastAsia" w:ascii="Times New Roman" w:cs="Times New Roman"/>
          <w:b/>
          <w:sz w:val="21"/>
          <w:szCs w:val="21"/>
        </w:rPr>
        <w:t>课程目标</w:t>
      </w:r>
    </w:p>
    <w:tbl>
      <w:tblPr>
        <w:tblStyle w:val="11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7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728" w:type="pct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具体课程目标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8" w:type="pct"/>
          </w:tcPr>
          <w:p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金属学的基础知识，钢的热处理，常用模具钢材料的牌号等。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exact"/>
        </w:trPr>
        <w:tc>
          <w:tcPr>
            <w:tcW w:w="728" w:type="pct"/>
          </w:tcPr>
          <w:p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培养根据生产实际问题进行研究和解决的科学素养，培养从过程比较完整的研究素养（发新现问题、认识问题、分析问题、联系专业知识以及利用现代工具学习知识、提出解决方案）；培养自主拓展知识面，学习新知识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</w:trPr>
        <w:tc>
          <w:tcPr>
            <w:tcW w:w="728" w:type="pct"/>
          </w:tcPr>
          <w:p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4272" w:type="pct"/>
          </w:tcPr>
          <w:p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运用模具材料与热处理的基本知识、热处理方法及原则、常用的模具表面处理技术，设计金属材料的热处理工艺方案；具备能够合理选择材料、能够进行失效分析、通过设计热处理工艺获得产品性能改进的能力。</w:t>
            </w:r>
          </w:p>
        </w:tc>
      </w:tr>
    </w:tbl>
    <w:p>
      <w:pPr>
        <w:autoSpaceDE/>
        <w:autoSpaceDN/>
        <w:snapToGrid w:val="0"/>
        <w:spacing w:line="400" w:lineRule="exact"/>
        <w:rPr>
          <w:rFonts w:ascii="Times New Roman" w:cs="Times New Roman"/>
          <w:kern w:val="2"/>
          <w:sz w:val="21"/>
          <w:szCs w:val="21"/>
        </w:rPr>
      </w:pPr>
    </w:p>
    <w:p>
      <w:pPr>
        <w:pStyle w:val="42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</w:p>
    <w:p>
      <w:pPr>
        <w:pStyle w:val="42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hint="eastAsia" w:ascii="Times New Roman" w:cs="Times New Roman"/>
          <w:b/>
          <w:sz w:val="21"/>
          <w:szCs w:val="21"/>
        </w:rPr>
        <w:t>课程目标与毕业要求对应关系</w:t>
      </w:r>
    </w:p>
    <w:tbl>
      <w:tblPr>
        <w:tblStyle w:val="11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5"/>
        <w:gridCol w:w="3850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tblHeader/>
          <w:jc w:val="center"/>
        </w:trPr>
        <w:tc>
          <w:tcPr>
            <w:tcW w:w="2215" w:type="pct"/>
            <w:vAlign w:val="center"/>
          </w:tcPr>
          <w:p>
            <w:pPr>
              <w:snapToGrid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2072" w:type="pct"/>
            <w:vAlign w:val="center"/>
          </w:tcPr>
          <w:p>
            <w:pPr>
              <w:snapToGrid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>
            <w:pPr>
              <w:snapToGrid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2215" w:type="pct"/>
            <w:vAlign w:val="center"/>
          </w:tcPr>
          <w:p>
            <w:pPr>
              <w:spacing w:line="360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：</w:t>
            </w:r>
            <w:r>
              <w:rPr>
                <w:rFonts w:hint="eastAsia" w:ascii="Times New Roman"/>
                <w:b/>
                <w:bCs/>
                <w:sz w:val="21"/>
                <w:szCs w:val="20"/>
              </w:rPr>
              <w:t>问题分析</w:t>
            </w:r>
            <w:r>
              <w:rPr>
                <w:rFonts w:hint="eastAsia" w:ascii="Times New Roman" w:cs="Times New Roman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sz w:val="21"/>
                <w:szCs w:val="21"/>
              </w:rPr>
              <w:t>M</w:t>
            </w:r>
            <w:r>
              <w:rPr>
                <w:rFonts w:hint="eastAsia" w:ascii="Times New Roman" w:cs="Times New Roman"/>
                <w:sz w:val="21"/>
                <w:szCs w:val="21"/>
              </w:rPr>
              <w:t>】</w:t>
            </w:r>
          </w:p>
        </w:tc>
        <w:tc>
          <w:tcPr>
            <w:tcW w:w="2072" w:type="pct"/>
            <w:vAlign w:val="center"/>
          </w:tcPr>
          <w:p>
            <w:pPr>
              <w:spacing w:line="360" w:lineRule="auto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2.1</w:t>
            </w:r>
            <w:r>
              <w:rPr>
                <w:rFonts w:hint="eastAsia" w:ascii="Times New Roman" w:cs="Times New Roman"/>
                <w:sz w:val="21"/>
                <w:szCs w:val="21"/>
              </w:rPr>
              <w:t>能运用相关科学原理，识别和判断材料成型工艺、模具设计与制造过程中复杂工程问题的关键环节。</w:t>
            </w:r>
          </w:p>
        </w:tc>
        <w:tc>
          <w:tcPr>
            <w:tcW w:w="713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2215" w:type="pct"/>
            <w:vAlign w:val="center"/>
          </w:tcPr>
          <w:p>
            <w:pPr>
              <w:spacing w:line="360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：</w:t>
            </w:r>
            <w:r>
              <w:rPr>
                <w:rFonts w:hint="eastAsia" w:ascii="Times New Roman"/>
                <w:b/>
                <w:bCs/>
                <w:sz w:val="21"/>
                <w:szCs w:val="20"/>
              </w:rPr>
              <w:t>问题分析</w:t>
            </w:r>
            <w:r>
              <w:rPr>
                <w:rFonts w:ascii="Times New Roman" w:cs="Times New Roman"/>
                <w:sz w:val="21"/>
                <w:szCs w:val="21"/>
              </w:rPr>
              <w:t>M</w:t>
            </w:r>
            <w:r>
              <w:rPr>
                <w:rFonts w:hint="eastAsia" w:ascii="Times New Roman" w:cs="Times New Roman"/>
                <w:sz w:val="21"/>
                <w:szCs w:val="21"/>
              </w:rPr>
              <w:t>】</w:t>
            </w:r>
          </w:p>
        </w:tc>
        <w:tc>
          <w:tcPr>
            <w:tcW w:w="2072" w:type="pct"/>
            <w:vAlign w:val="center"/>
          </w:tcPr>
          <w:p>
            <w:pPr>
              <w:spacing w:line="360" w:lineRule="auto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2.3</w:t>
            </w:r>
            <w:r>
              <w:rPr>
                <w:rFonts w:hint="eastAsia" w:ascii="Times New Roman" w:cs="Times New Roman"/>
                <w:sz w:val="21"/>
                <w:szCs w:val="21"/>
              </w:rPr>
              <w:t>能认识到解决材料成型工艺、模具设计与制造过程中的问题有多种方案可选择，会通过文献研究寻求可替代的解决方案。</w:t>
            </w:r>
          </w:p>
        </w:tc>
        <w:tc>
          <w:tcPr>
            <w:tcW w:w="713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5" w:type="pct"/>
            <w:vAlign w:val="center"/>
          </w:tcPr>
          <w:p>
            <w:pPr>
              <w:spacing w:line="360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：</w:t>
            </w:r>
            <w:r>
              <w:rPr>
                <w:rFonts w:hint="eastAsia" w:ascii="Times New Roman"/>
                <w:b/>
                <w:bCs/>
                <w:sz w:val="21"/>
                <w:szCs w:val="20"/>
              </w:rPr>
              <w:t>问题分析</w:t>
            </w:r>
            <w:r>
              <w:rPr>
                <w:rFonts w:hint="eastAsia" w:ascii="Times New Roman" w:cs="Times New Roman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sz w:val="21"/>
                <w:szCs w:val="21"/>
              </w:rPr>
              <w:t>H</w:t>
            </w:r>
            <w:r>
              <w:rPr>
                <w:rFonts w:hint="eastAsia" w:ascii="Times New Roman" w:cs="Times New Roman"/>
                <w:sz w:val="21"/>
                <w:szCs w:val="21"/>
              </w:rPr>
              <w:t>】</w:t>
            </w:r>
          </w:p>
        </w:tc>
        <w:tc>
          <w:tcPr>
            <w:tcW w:w="2072" w:type="pct"/>
            <w:vAlign w:val="center"/>
          </w:tcPr>
          <w:p>
            <w:pPr>
              <w:spacing w:line="360" w:lineRule="auto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2.4</w:t>
            </w:r>
            <w:r>
              <w:rPr>
                <w:rFonts w:hint="eastAsia" w:ascii="Times New Roman" w:cs="Times New Roman"/>
                <w:sz w:val="21"/>
                <w:szCs w:val="21"/>
              </w:rPr>
              <w:t>能运用基本原理，借助文献研究，并从可持续发展的角度分析材料成型工艺、模具设计与制造等工程活动过程的影响因素，获得有效结论。</w:t>
            </w:r>
          </w:p>
        </w:tc>
        <w:tc>
          <w:tcPr>
            <w:tcW w:w="713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</w:tr>
    </w:tbl>
    <w:p>
      <w:pPr>
        <w:spacing w:line="400" w:lineRule="exact"/>
        <w:rPr>
          <w:rFonts w:ascii="Times New Roman" w:cs="Times New Roman"/>
        </w:rPr>
      </w:pPr>
    </w:p>
    <w:p>
      <w:pPr>
        <w:rPr>
          <w:rFonts w:ascii="Times New Roman" w:cs="Times New Roman"/>
        </w:rPr>
        <w:sectPr>
          <w:footerReference r:id="rId3" w:type="default"/>
          <w:pgSz w:w="11910" w:h="16840"/>
          <w:pgMar w:top="1420" w:right="1417" w:bottom="1417" w:left="1417" w:header="720" w:footer="720" w:gutter="0"/>
          <w:cols w:space="720" w:num="1"/>
        </w:sectPr>
      </w:pPr>
    </w:p>
    <w:p>
      <w:pPr>
        <w:pStyle w:val="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三、课程学习内容与方法</w:t>
      </w:r>
    </w:p>
    <w:p>
      <w:pPr>
        <w:pStyle w:val="6"/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hint="eastAsia" w:ascii="Times New Roman" w:eastAsia="黑体" w:cs="Times New Roman"/>
          <w:b/>
        </w:rPr>
        <w:t>（一）理论学习内容及要求</w:t>
      </w:r>
      <w:r>
        <w:rPr>
          <w:rFonts w:ascii="Times New Roman" w:eastAsia="明黑等宽" w:cs="Times New Roman"/>
          <w:b/>
        </w:rPr>
        <w:t xml:space="preserve">  </w:t>
      </w:r>
    </w:p>
    <w:p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3-1 </w:t>
      </w:r>
      <w:r>
        <w:rPr>
          <w:rFonts w:hint="eastAsia" w:ascii="Times New Roman" w:cs="Times New Roman"/>
          <w:b/>
          <w:sz w:val="21"/>
          <w:szCs w:val="21"/>
        </w:rPr>
        <w:t>课程目标、学习内容和教学方法对应关系</w:t>
      </w:r>
    </w:p>
    <w:p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tbl>
      <w:tblPr>
        <w:tblStyle w:val="11"/>
        <w:tblW w:w="151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554"/>
        <w:gridCol w:w="3595"/>
        <w:gridCol w:w="1559"/>
        <w:gridCol w:w="1985"/>
        <w:gridCol w:w="3208"/>
        <w:gridCol w:w="1560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788" w:type="dxa"/>
            <w:vAlign w:val="center"/>
          </w:tcPr>
          <w:p>
            <w:pPr>
              <w:snapToGrid w:val="0"/>
              <w:spacing w:line="400" w:lineRule="exact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序号</w:t>
            </w:r>
          </w:p>
        </w:tc>
        <w:tc>
          <w:tcPr>
            <w:tcW w:w="1554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课程模块</w:t>
            </w:r>
          </w:p>
        </w:tc>
        <w:tc>
          <w:tcPr>
            <w:tcW w:w="359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学习内容</w:t>
            </w:r>
          </w:p>
        </w:tc>
        <w:tc>
          <w:tcPr>
            <w:tcW w:w="1559" w:type="dxa"/>
          </w:tcPr>
          <w:p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学习任务</w:t>
            </w:r>
          </w:p>
        </w:tc>
        <w:tc>
          <w:tcPr>
            <w:tcW w:w="198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课程目标</w:t>
            </w:r>
          </w:p>
        </w:tc>
        <w:tc>
          <w:tcPr>
            <w:tcW w:w="320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  <w:highlight w:val="yellow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学习重点难点</w:t>
            </w:r>
          </w:p>
        </w:tc>
        <w:tc>
          <w:tcPr>
            <w:tcW w:w="1560" w:type="dxa"/>
            <w:vAlign w:val="center"/>
          </w:tcPr>
          <w:p>
            <w:pPr>
              <w:pStyle w:val="40"/>
              <w:kinsoku w:val="0"/>
              <w:overflowPunct w:val="0"/>
              <w:spacing w:before="22"/>
              <w:ind w:left="70" w:right="60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教学方法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78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</w:t>
            </w:r>
          </w:p>
        </w:tc>
        <w:tc>
          <w:tcPr>
            <w:tcW w:w="1554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走进模具材料及热处理</w:t>
            </w:r>
          </w:p>
        </w:tc>
        <w:tc>
          <w:tcPr>
            <w:tcW w:w="3595" w:type="dxa"/>
            <w:vAlign w:val="center"/>
          </w:tcPr>
          <w:p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模具产业的作用和历史地位</w:t>
            </w:r>
          </w:p>
        </w:tc>
        <w:tc>
          <w:tcPr>
            <w:tcW w:w="1559" w:type="dxa"/>
            <w:vMerge w:val="restart"/>
          </w:tcPr>
          <w:p>
            <w:pPr>
              <w:spacing w:line="3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拓展阅读：国内外热处理的研究前沿。</w:t>
            </w:r>
          </w:p>
          <w:p>
            <w:pPr>
              <w:spacing w:line="3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>
            <w:pPr>
              <w:spacing w:line="3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>
            <w:pPr>
              <w:spacing w:line="240" w:lineRule="exact"/>
              <w:ind w:right="-110" w:rightChars="-50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</w:t>
            </w:r>
            <w:r>
              <w:rPr>
                <w:rFonts w:hint="eastAsia" w:hAnsi="宋体"/>
                <w:bCs/>
                <w:sz w:val="21"/>
                <w:szCs w:val="21"/>
              </w:rPr>
              <w:t>．</w:t>
            </w:r>
            <w:r>
              <w:rPr>
                <w:rFonts w:hint="eastAsia" w:hAnsi="宋体"/>
                <w:sz w:val="21"/>
                <w:szCs w:val="21"/>
              </w:rPr>
              <w:t>模具材料的作用和地位；</w:t>
            </w:r>
          </w:p>
          <w:p>
            <w:pPr>
              <w:spacing w:line="240" w:lineRule="exact"/>
              <w:ind w:right="-110" w:rightChars="-50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模具材料的选用原则；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我国模具产业面临的机遇和挑战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</w:t>
            </w:r>
          </w:p>
        </w:tc>
        <w:tc>
          <w:tcPr>
            <w:tcW w:w="856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世界范围内模具产业的发展趋势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我国模具产业面临的机遇和挑战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本门课与材控专业的关系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788" w:type="dxa"/>
            <w:vMerge w:val="restart"/>
            <w:vAlign w:val="center"/>
          </w:tcPr>
          <w:p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</w:t>
            </w:r>
          </w:p>
        </w:tc>
        <w:tc>
          <w:tcPr>
            <w:tcW w:w="1554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模具材料及热处理预备知识</w:t>
            </w:r>
          </w:p>
        </w:tc>
        <w:tc>
          <w:tcPr>
            <w:tcW w:w="3595" w:type="dxa"/>
            <w:vAlign w:val="center"/>
          </w:tcPr>
          <w:p>
            <w:pPr>
              <w:autoSpaceDE/>
              <w:autoSpaceDN/>
              <w:adjustRightInd/>
              <w:jc w:val="both"/>
              <w:rPr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模具钢的应用现状和发展趋势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个人作业：热处理原理。</w:t>
            </w:r>
          </w:p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模具钢寿命的主要影响因素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锻造工艺的优势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退火、正火、淬火和回火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表面热处理方式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专题研讨</w:t>
            </w:r>
          </w:p>
        </w:tc>
        <w:tc>
          <w:tcPr>
            <w:tcW w:w="856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autoSpaceDE/>
              <w:autoSpaceDN/>
              <w:adjustRightInd/>
              <w:jc w:val="both"/>
              <w:rPr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钢的牌号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pStyle w:val="41"/>
              <w:spacing w:line="300" w:lineRule="exact"/>
              <w:ind w:firstLine="0" w:firstLineChars="0"/>
              <w:rPr>
                <w:rFonts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3.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热处理原理及应用</w:t>
            </w:r>
          </w:p>
        </w:tc>
        <w:tc>
          <w:tcPr>
            <w:tcW w:w="1559" w:type="dxa"/>
            <w:vMerge w:val="continue"/>
          </w:tcPr>
          <w:p>
            <w:pPr>
              <w:pStyle w:val="41"/>
              <w:spacing w:line="300" w:lineRule="exact"/>
              <w:ind w:firstLine="0" w:firstLineChars="0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41"/>
              <w:spacing w:line="300" w:lineRule="exact"/>
              <w:ind w:firstLine="0" w:firstLineChars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88" w:type="dxa"/>
            <w:vMerge w:val="restart"/>
            <w:vAlign w:val="center"/>
          </w:tcPr>
          <w:p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</w:t>
            </w:r>
          </w:p>
        </w:tc>
        <w:tc>
          <w:tcPr>
            <w:tcW w:w="1554" w:type="dxa"/>
            <w:vMerge w:val="restart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模具失效概述</w:t>
            </w:r>
          </w:p>
        </w:tc>
        <w:tc>
          <w:tcPr>
            <w:tcW w:w="3595" w:type="dxa"/>
            <w:vAlign w:val="center"/>
          </w:tcPr>
          <w:p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模具失效的基本形式和原因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拓展阅读：失效的形式及案例。</w:t>
            </w:r>
          </w:p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>
            <w:pPr>
              <w:spacing w:line="240" w:lineRule="exact"/>
              <w:ind w:right="-110" w:rightChars="-50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模具失效的基本形式及原因：失效形式；失效分析；</w:t>
            </w:r>
          </w:p>
          <w:p>
            <w:pPr>
              <w:spacing w:line="240" w:lineRule="exact"/>
              <w:ind w:right="-110" w:rightChars="-50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模具材料的应用及发展；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>
            <w:pPr>
              <w:snapToGrid w:val="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影响模具的寿命因素：模具结构设计、制造质量材料、热处理与表面强化对模具寿命的影响。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案例教学</w:t>
            </w:r>
          </w:p>
        </w:tc>
        <w:tc>
          <w:tcPr>
            <w:tcW w:w="856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影响模具的寿命的因素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snapToGrid w:val="0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冷作模具材料概述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snapToGrid w:val="0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88" w:type="dxa"/>
            <w:vMerge w:val="restart"/>
            <w:vAlign w:val="center"/>
          </w:tcPr>
          <w:p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</w:t>
            </w:r>
          </w:p>
        </w:tc>
        <w:tc>
          <w:tcPr>
            <w:tcW w:w="1554" w:type="dxa"/>
            <w:vMerge w:val="restart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冷作模具材料</w:t>
            </w: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冷作模具的工作条件与性能要求；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线上学习：模具材料的研究前沿。</w:t>
            </w:r>
          </w:p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冷作模具材料的主要性能要求：使用性能要求和工艺性能要求；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碳素工具钢：主要性能特点和热加工工艺；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高碳低合金钢：主要性能特点和热加工工艺；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高碳高铬模具钢：主要性能特点和热加工工艺；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5.</w:t>
            </w:r>
            <w:r>
              <w:rPr>
                <w:rFonts w:hint="eastAsia" w:hAnsi="宋体"/>
                <w:bCs/>
                <w:sz w:val="21"/>
                <w:szCs w:val="21"/>
              </w:rPr>
              <w:t>高速耐磨模具钢：主要性能特点和热加工工艺；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实地调研、</w:t>
            </w:r>
          </w:p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课堂汇报</w:t>
            </w:r>
          </w:p>
        </w:tc>
        <w:tc>
          <w:tcPr>
            <w:tcW w:w="856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冷作模具的制造工艺及热处理工艺；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会制订冷作模具的热处理工艺；</w:t>
            </w:r>
          </w:p>
        </w:tc>
        <w:tc>
          <w:tcPr>
            <w:tcW w:w="1559" w:type="dxa"/>
            <w:vMerge w:val="continue"/>
          </w:tcPr>
          <w:p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restart"/>
            <w:vAlign w:val="center"/>
          </w:tcPr>
          <w:p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</w:t>
            </w:r>
          </w:p>
        </w:tc>
        <w:tc>
          <w:tcPr>
            <w:tcW w:w="1554" w:type="dxa"/>
            <w:vMerge w:val="restart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热作模具材料</w:t>
            </w: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热作模具材料的主要性能要求；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个人作业：冷热模具材料的工艺。</w:t>
            </w:r>
          </w:p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热作模具的主要性能要求；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各类热作模具材料及热处理：常见压铸模、热冲裁模和热挤压模用钢和热处理工艺；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热作模具材料的选用选材原则和常用冷作模具的选用；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案例教学</w:t>
            </w:r>
          </w:p>
        </w:tc>
        <w:tc>
          <w:tcPr>
            <w:tcW w:w="856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冷作模具的制造工艺及热处理工艺；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ind w:left="720" w:hanging="720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根据要求选择冷作模具材料；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制订冷作模具的热处理工艺；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restart"/>
            <w:vAlign w:val="center"/>
          </w:tcPr>
          <w:p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塑料模具材料</w:t>
            </w: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塑料模具材料的主要性能要求；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线上学习：塑料模具材料的发展。</w:t>
            </w:r>
          </w:p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塑料模具的工作条件、失效形式及性能要求；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塑料模具用钢：成分特点；常用塑料模具用钢热处理特点；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塑料模具材料选用：塑料成形件的材料选用；塑料模具其他零件的材料选用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案例教学</w:t>
            </w:r>
          </w:p>
        </w:tc>
        <w:tc>
          <w:tcPr>
            <w:tcW w:w="856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塑料模具材料及热处理工艺选用的基本能力；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查询相关技术规范；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培养学生积极思考和解决问题的能力；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restart"/>
            <w:vAlign w:val="center"/>
          </w:tcPr>
          <w:p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</w:t>
            </w:r>
          </w:p>
        </w:tc>
        <w:tc>
          <w:tcPr>
            <w:tcW w:w="1554" w:type="dxa"/>
            <w:vMerge w:val="restart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模具表面强化处理技术</w:t>
            </w: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cs="黑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表面强化工艺原理；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小组作业：选择一种材料，制定热处理工艺流程及标准。</w:t>
            </w:r>
          </w:p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模具表面强化的基本工艺原理；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表面化学热处理技术：渗碳、渗氮、渗硼、多元共渗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其他表面强化技术：气相沉积技术、激光强化、电火花表面处理等；</w:t>
            </w:r>
          </w:p>
          <w:p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表面强化工艺设计。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案例教学</w:t>
            </w:r>
          </w:p>
        </w:tc>
        <w:tc>
          <w:tcPr>
            <w:tcW w:w="856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pStyle w:val="42"/>
              <w:spacing w:line="240" w:lineRule="exact"/>
              <w:ind w:hanging="220"/>
              <w:contextualSpacing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分析热处理缺陷，提出解决方案；</w:t>
            </w:r>
          </w:p>
        </w:tc>
        <w:tc>
          <w:tcPr>
            <w:tcW w:w="1559" w:type="dxa"/>
            <w:vMerge w:val="continue"/>
          </w:tcPr>
          <w:p>
            <w:pPr>
              <w:pStyle w:val="41"/>
              <w:spacing w:line="300" w:lineRule="exact"/>
              <w:ind w:firstLine="0" w:firstLineChars="0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41"/>
              <w:spacing w:line="300" w:lineRule="exact"/>
              <w:ind w:firstLine="0" w:firstLineChars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spacing w:line="240" w:lineRule="exact"/>
              <w:contextualSpacing/>
              <w:rPr>
                <w:rFonts w:cs="黑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3.</w:t>
            </w:r>
            <w:r>
              <w:rPr>
                <w:rFonts w:hint="eastAsia" w:hAnsi="宋体"/>
                <w:sz w:val="21"/>
                <w:szCs w:val="21"/>
              </w:rPr>
              <w:t>培养学生创新思维和实际解决问题的能力。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>
            <w:pPr>
              <w:pStyle w:val="42"/>
              <w:spacing w:line="240" w:lineRule="exact"/>
              <w:ind w:firstLine="0"/>
              <w:contextualSpacing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4.</w:t>
            </w:r>
            <w:r>
              <w:rPr>
                <w:rFonts w:hint="eastAsia" w:hAnsi="宋体"/>
                <w:sz w:val="21"/>
                <w:szCs w:val="21"/>
              </w:rPr>
              <w:t>常用渗氮渗碳化学热处理工艺；</w:t>
            </w:r>
          </w:p>
        </w:tc>
        <w:tc>
          <w:tcPr>
            <w:tcW w:w="1559" w:type="dxa"/>
            <w:vMerge w:val="continue"/>
          </w:tcPr>
          <w:p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</w:tbl>
    <w:p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>
      <w:pPr>
        <w:pStyle w:val="6"/>
        <w:kinsoku w:val="0"/>
        <w:overflowPunct w:val="0"/>
        <w:spacing w:before="66"/>
        <w:rPr>
          <w:rFonts w:ascii="Times New Roman" w:cs="Times New Roman"/>
          <w:b/>
          <w:sz w:val="21"/>
          <w:szCs w:val="21"/>
        </w:rPr>
      </w:pPr>
    </w:p>
    <w:p>
      <w:pPr>
        <w:snapToGrid w:val="0"/>
        <w:spacing w:line="360" w:lineRule="auto"/>
        <w:rPr>
          <w:rFonts w:ascii="Times New Roman" w:cs="Times New Roman"/>
          <w:szCs w:val="21"/>
        </w:rPr>
        <w:sectPr>
          <w:pgSz w:w="16840" w:h="11910" w:orient="landscape"/>
          <w:pgMar w:top="1417" w:right="1417" w:bottom="1417" w:left="1417" w:header="720" w:footer="720" w:gutter="0"/>
          <w:cols w:space="720" w:num="1"/>
          <w:docGrid w:linePitch="299" w:charSpace="0"/>
        </w:sectPr>
      </w:pPr>
    </w:p>
    <w:p>
      <w:pPr>
        <w:pStyle w:val="3"/>
        <w:kinsoku w:val="0"/>
        <w:overflowPunct w:val="0"/>
        <w:snapToGrid w:val="0"/>
        <w:spacing w:before="0" w:after="120" w:afterLines="50"/>
        <w:ind w:left="0" w:firstLine="562" w:firstLineChars="200"/>
        <w:rPr>
          <w:rFonts w:ascii="Times New Roman" w:eastAsia="黑体" w:cs="Times New Roman"/>
        </w:rPr>
      </w:pPr>
      <w:r>
        <w:rPr>
          <w:rFonts w:hint="eastAsia" w:ascii="Times New Roman" w:eastAsia="黑体" w:cs="Times New Roman"/>
        </w:rPr>
        <w:t>四、课程考核</w:t>
      </w:r>
    </w:p>
    <w:p>
      <w:pPr>
        <w:snapToGrid w:val="0"/>
        <w:spacing w:line="360" w:lineRule="auto"/>
        <w:ind w:firstLine="482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eastAsia="黑体" w:cs="Times New Roman"/>
          <w:b/>
          <w:sz w:val="24"/>
          <w:szCs w:val="24"/>
        </w:rPr>
        <w:t>（一）考核内容与考核方式</w:t>
      </w:r>
    </w:p>
    <w:p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4</w:t>
      </w:r>
      <w:r>
        <w:rPr>
          <w:rFonts w:hint="eastAsia" w:ascii="Times New Roman" w:cs="Times New Roman"/>
          <w:b/>
          <w:sz w:val="21"/>
          <w:szCs w:val="21"/>
          <w:lang w:val="en-US" w:eastAsia="zh-CN"/>
        </w:rPr>
        <w:t>-1</w:t>
      </w:r>
      <w:bookmarkStart w:id="1" w:name="_GoBack"/>
      <w:bookmarkEnd w:id="1"/>
      <w:r>
        <w:rPr>
          <w:rFonts w:ascii="Times New Roman" w:cs="Times New Roman"/>
          <w:b/>
          <w:sz w:val="21"/>
          <w:szCs w:val="21"/>
        </w:rPr>
        <w:t xml:space="preserve"> </w:t>
      </w:r>
      <w:r>
        <w:rPr>
          <w:rFonts w:hint="eastAsia" w:ascii="Times New Roman" w:cs="Times New Roman"/>
          <w:b/>
          <w:sz w:val="21"/>
          <w:szCs w:val="21"/>
        </w:rPr>
        <w:t>课程目标、考核内容与考核方式对应关系</w:t>
      </w:r>
    </w:p>
    <w:tbl>
      <w:tblPr>
        <w:tblStyle w:val="11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4059"/>
        <w:gridCol w:w="1729"/>
        <w:gridCol w:w="1079"/>
        <w:gridCol w:w="13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考核内容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所属</w:t>
            </w:r>
          </w:p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考核占比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模具材料及热处理相关概念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58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ind w:firstLine="210" w:firstLineChars="100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课堂表现、平时作业、阶段测试、</w:t>
            </w:r>
            <w:r>
              <w:rPr>
                <w:rFonts w:hint="eastAsia" w:ascii="Times New Roman" w:cs="Times New Roman"/>
                <w:sz w:val="21"/>
                <w:szCs w:val="21"/>
              </w:rPr>
              <w:t>闭卷考试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材料热处理工艺种类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模具材料牌号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失效分析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8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24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课堂表现、平时作业、阶段测试、</w:t>
            </w:r>
            <w:r>
              <w:rPr>
                <w:rFonts w:hint="eastAsia" w:ascii="Times New Roman" w:cs="Times New Roman"/>
                <w:sz w:val="21"/>
                <w:szCs w:val="21"/>
              </w:rPr>
              <w:t>闭卷考试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热处理工艺及应用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spacing w:before="23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热处理工艺设计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3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模具材料热处理测试方法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4-6</w:t>
            </w:r>
          </w:p>
        </w:tc>
        <w:tc>
          <w:tcPr>
            <w:tcW w:w="5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课堂表现、平时作业、阶段测试、</w:t>
            </w:r>
            <w:r>
              <w:rPr>
                <w:rFonts w:hint="eastAsia" w:ascii="Times New Roman" w:cs="Times New Roman"/>
                <w:sz w:val="21"/>
                <w:szCs w:val="21"/>
              </w:rPr>
              <w:t>闭卷考试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热处理工艺改性原理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热处理工艺标准流程的设计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1-7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>
      <w:pPr>
        <w:pStyle w:val="3"/>
        <w:kinsoku w:val="0"/>
        <w:overflowPunct w:val="0"/>
        <w:ind w:left="0" w:firstLine="482" w:firstLineChars="200"/>
        <w:rPr>
          <w:rFonts w:hint="eastAsia" w:ascii="Times New Roman" w:eastAsia="黑体" w:cs="Times New Roman"/>
          <w:sz w:val="24"/>
          <w:szCs w:val="24"/>
        </w:rPr>
      </w:pPr>
    </w:p>
    <w:p>
      <w:pPr>
        <w:pStyle w:val="6"/>
        <w:kinsoku w:val="0"/>
        <w:overflowPunct w:val="0"/>
        <w:spacing w:before="66"/>
        <w:jc w:val="center"/>
        <w:rPr>
          <w:rFonts w:hint="eastAsia" w:ascii="Times New Roman" w:eastAsia="黑体" w:cs="Times New Roman"/>
          <w:sz w:val="24"/>
          <w:szCs w:val="24"/>
        </w:rPr>
      </w:pPr>
      <w:r>
        <w:rPr>
          <w:rFonts w:hint="eastAsia" w:ascii="Times New Roman" w:cs="Times New Roman"/>
          <w:b/>
          <w:sz w:val="21"/>
          <w:szCs w:val="21"/>
        </w:rPr>
        <w:t>表4-2 课程目标与考核方式矩阵关系</w:t>
      </w:r>
    </w:p>
    <w:tbl>
      <w:tblPr>
        <w:tblStyle w:val="11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52"/>
        <w:gridCol w:w="1442"/>
        <w:gridCol w:w="1519"/>
        <w:gridCol w:w="1520"/>
        <w:gridCol w:w="2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</w:t>
            </w:r>
          </w:p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期末考试成绩比例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课堂表现成绩比例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平时作业成绩比例1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阶段性测试成绩比例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2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课程目标1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58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=70%*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课程目标2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30%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24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=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8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=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</w:tr>
    </w:tbl>
    <w:p>
      <w:pPr>
        <w:pStyle w:val="3"/>
        <w:kinsoku w:val="0"/>
        <w:overflowPunct w:val="0"/>
        <w:ind w:left="0" w:firstLine="482" w:firstLineChars="200"/>
        <w:rPr>
          <w:rFonts w:hint="eastAsia" w:ascii="Times New Roman" w:eastAsia="黑体" w:cs="Times New Roman"/>
          <w:sz w:val="24"/>
          <w:szCs w:val="24"/>
        </w:rPr>
      </w:pPr>
    </w:p>
    <w:p>
      <w:pPr>
        <w:pStyle w:val="3"/>
        <w:kinsoku w:val="0"/>
        <w:overflowPunct w:val="0"/>
        <w:ind w:left="0" w:firstLine="482" w:firstLineChars="200"/>
        <w:rPr>
          <w:rFonts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（二）成绩评定</w:t>
      </w:r>
    </w:p>
    <w:p>
      <w:pPr>
        <w:snapToGrid w:val="0"/>
        <w:spacing w:line="400" w:lineRule="exact"/>
        <w:ind w:firstLine="482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hint="eastAsia" w:ascii="Times New Roman" w:cs="Times New Roman"/>
          <w:b/>
          <w:sz w:val="24"/>
          <w:szCs w:val="24"/>
        </w:rPr>
        <w:t>平时成绩评定</w:t>
      </w:r>
    </w:p>
    <w:p>
      <w:pPr>
        <w:snapToGrid w:val="0"/>
        <w:spacing w:line="400" w:lineRule="exact"/>
        <w:ind w:firstLine="482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hint="eastAsia" w:ascii="Times New Roman" w:cs="Times New Roman"/>
          <w:b/>
          <w:sz w:val="24"/>
          <w:szCs w:val="24"/>
        </w:rPr>
        <w:t>）课堂表现（</w:t>
      </w:r>
      <w:r>
        <w:rPr>
          <w:rFonts w:ascii="Times New Roman" w:cs="Times New Roman"/>
          <w:b/>
          <w:sz w:val="24"/>
          <w:szCs w:val="24"/>
        </w:rPr>
        <w:t>10%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sz w:val="24"/>
          <w:szCs w:val="24"/>
        </w:rPr>
        <w:t>：通过学生在课堂上的表现情况、发言与提问情况，来评价学生对模具材料及热处理基本概念掌握及应用的能力。</w:t>
      </w:r>
    </w:p>
    <w:p>
      <w:pPr>
        <w:snapToGrid w:val="0"/>
        <w:spacing w:line="400" w:lineRule="exact"/>
        <w:ind w:firstLine="482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2</w:t>
      </w:r>
      <w:r>
        <w:rPr>
          <w:rFonts w:hint="eastAsia" w:ascii="Times New Roman" w:cs="Times New Roman"/>
          <w:b/>
          <w:sz w:val="24"/>
          <w:szCs w:val="24"/>
        </w:rPr>
        <w:t>）作业完成情况（</w:t>
      </w:r>
      <w:r>
        <w:rPr>
          <w:rFonts w:ascii="Times New Roman" w:cs="Times New Roman"/>
          <w:b/>
          <w:sz w:val="24"/>
          <w:szCs w:val="24"/>
        </w:rPr>
        <w:t>10%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sz w:val="24"/>
          <w:szCs w:val="24"/>
        </w:rPr>
        <w:t>：围绕课程的学习目标进行作业的设计。让学生简述对知识的认识，考核学生对于概念的理解情况，帮助学生将定义转化为自己的理解。</w:t>
      </w:r>
    </w:p>
    <w:p>
      <w:pPr>
        <w:snapToGrid w:val="0"/>
        <w:spacing w:line="400" w:lineRule="exact"/>
        <w:ind w:firstLine="482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3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b/>
          <w:sz w:val="24"/>
          <w:szCs w:val="24"/>
          <w:lang w:eastAsia="zh-CN"/>
        </w:rPr>
        <w:t>阶段性测试</w:t>
      </w: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30%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sz w:val="24"/>
          <w:szCs w:val="24"/>
        </w:rPr>
        <w:t>：如通过课堂教案设计、课堂片段展示与汇报，训练学生的课堂实践能力，使学生真正明确教学技能在实际教学中的应用，形成自己适合的教学风格。</w:t>
      </w:r>
    </w:p>
    <w:p>
      <w:pPr>
        <w:snapToGrid w:val="0"/>
        <w:spacing w:line="400" w:lineRule="exact"/>
        <w:ind w:firstLine="482" w:firstLineChars="200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hint="eastAsia" w:ascii="Times New Roman" w:cs="Times New Roman"/>
          <w:b/>
          <w:sz w:val="24"/>
          <w:szCs w:val="24"/>
        </w:rPr>
        <w:t>期末成绩评定</w:t>
      </w:r>
    </w:p>
    <w:p>
      <w:pPr>
        <w:snapToGrid w:val="0"/>
        <w:spacing w:line="400" w:lineRule="exact"/>
        <w:ind w:firstLine="440" w:firstLineChars="200"/>
        <w:rPr>
          <w:rFonts w:ascii="Times" w:cs="Times"/>
          <w:szCs w:val="21"/>
        </w:rPr>
      </w:pPr>
      <w:r>
        <w:rPr>
          <w:rFonts w:hint="eastAsia" w:ascii="Times" w:hAnsi="Times" w:cs="Times"/>
          <w:szCs w:val="21"/>
        </w:rPr>
        <w:t>考试方式：闭卷考试</w:t>
      </w:r>
    </w:p>
    <w:p>
      <w:pPr>
        <w:snapToGrid w:val="0"/>
        <w:spacing w:line="400" w:lineRule="exact"/>
        <w:ind w:firstLine="440" w:firstLineChars="200"/>
        <w:rPr>
          <w:rFonts w:ascii="Times" w:cs="Times"/>
          <w:szCs w:val="21"/>
        </w:rPr>
      </w:pPr>
      <w:r>
        <w:rPr>
          <w:rFonts w:hint="eastAsia" w:ascii="Times" w:hAnsi="Times" w:cs="Times"/>
          <w:szCs w:val="21"/>
        </w:rPr>
        <w:t>主要考察学生对模具材料及热处理基本概念的理解、对金属材料失效分析能力，对模具材料热处理的方案设计能力及改性表征能力。</w:t>
      </w:r>
    </w:p>
    <w:p>
      <w:pPr>
        <w:snapToGrid w:val="0"/>
        <w:spacing w:line="400" w:lineRule="exact"/>
        <w:ind w:firstLine="482" w:firstLineChars="200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hint="eastAsia" w:ascii="Times New Roman" w:cs="Times New Roman"/>
          <w:b/>
          <w:sz w:val="24"/>
          <w:szCs w:val="24"/>
        </w:rPr>
        <w:t>总成绩评定</w:t>
      </w:r>
    </w:p>
    <w:p>
      <w:pPr>
        <w:snapToGrid w:val="0"/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总成绩（</w:t>
      </w:r>
      <w:r>
        <w:rPr>
          <w:rFonts w:ascii="Times New Roman" w:cs="Times New Roman"/>
          <w:sz w:val="24"/>
          <w:szCs w:val="24"/>
        </w:rPr>
        <w:t>100%</w:t>
      </w:r>
      <w:r>
        <w:rPr>
          <w:rFonts w:hint="eastAsia" w:ascii="Times New Roman" w:cs="Times New Roman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=</w:t>
      </w:r>
      <w:r>
        <w:rPr>
          <w:rFonts w:hint="eastAsia" w:ascii="Times New Roman" w:cs="Times New Roman"/>
          <w:sz w:val="24"/>
          <w:szCs w:val="24"/>
        </w:rPr>
        <w:t>平时成绩（</w:t>
      </w:r>
      <w:r>
        <w:rPr>
          <w:rFonts w:ascii="Times New Roman" w:cs="Times New Roman"/>
          <w:sz w:val="24"/>
          <w:szCs w:val="24"/>
        </w:rPr>
        <w:t>50%</w:t>
      </w:r>
      <w:r>
        <w:rPr>
          <w:rFonts w:hint="eastAsia" w:ascii="Times New Roman" w:cs="Times New Roman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+</w:t>
      </w:r>
      <w:r>
        <w:rPr>
          <w:rFonts w:hint="eastAsia" w:ascii="Times New Roman" w:cs="Times New Roman"/>
          <w:sz w:val="24"/>
          <w:szCs w:val="24"/>
        </w:rPr>
        <w:t>期末成绩（</w:t>
      </w:r>
      <w:r>
        <w:rPr>
          <w:rFonts w:ascii="Times New Roman" w:cs="Times New Roman"/>
          <w:sz w:val="24"/>
          <w:szCs w:val="24"/>
        </w:rPr>
        <w:t>50%</w:t>
      </w:r>
      <w:r>
        <w:rPr>
          <w:rFonts w:hint="eastAsia" w:ascii="Times New Roman" w:cs="Times New Roman"/>
          <w:sz w:val="24"/>
          <w:szCs w:val="24"/>
        </w:rPr>
        <w:t>）</w:t>
      </w:r>
    </w:p>
    <w:p>
      <w:pPr>
        <w:pStyle w:val="3"/>
        <w:kinsoku w:val="0"/>
        <w:overflowPunct w:val="0"/>
        <w:ind w:left="0" w:firstLine="482" w:firstLineChars="200"/>
        <w:rPr>
          <w:rFonts w:hint="eastAsia"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（三）评分标准</w:t>
      </w:r>
    </w:p>
    <w:p>
      <w:pPr>
        <w:snapToGrid w:val="0"/>
        <w:spacing w:line="400" w:lineRule="exact"/>
        <w:ind w:firstLine="480" w:firstLineChars="200"/>
        <w:rPr>
          <w:rFonts w:hint="eastAsia"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以试卷参考答案及评分细则为准。</w:t>
      </w:r>
    </w:p>
    <w:p>
      <w:pPr>
        <w:spacing w:beforeLines="0" w:afterLines="0" w:line="360" w:lineRule="auto"/>
        <w:jc w:val="center"/>
        <w:rPr>
          <w:rFonts w:hint="default" w:ascii="Times New Roman" w:cs="Times New Roman"/>
          <w:b/>
          <w:sz w:val="22"/>
          <w:szCs w:val="21"/>
        </w:rPr>
      </w:pPr>
      <w:r>
        <w:rPr>
          <w:rFonts w:hint="eastAsia" w:ascii="Times New Roman" w:cs="Times New Roman"/>
          <w:b/>
          <w:sz w:val="22"/>
          <w:szCs w:val="21"/>
        </w:rPr>
        <w:t>表</w:t>
      </w:r>
      <w:r>
        <w:rPr>
          <w:rFonts w:hint="default" w:ascii="Times New Roman" w:cs="Times New Roman"/>
          <w:b/>
          <w:sz w:val="22"/>
          <w:szCs w:val="21"/>
        </w:rPr>
        <w:t xml:space="preserve">4-3 </w:t>
      </w:r>
      <w:r>
        <w:rPr>
          <w:rFonts w:hint="eastAsia" w:ascii="Times New Roman" w:cs="Times New Roman"/>
          <w:b/>
          <w:sz w:val="22"/>
          <w:szCs w:val="21"/>
        </w:rPr>
        <w:t>评分标准</w:t>
      </w:r>
    </w:p>
    <w:tbl>
      <w:tblPr>
        <w:tblStyle w:val="11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1646"/>
        <w:gridCol w:w="1646"/>
        <w:gridCol w:w="1646"/>
        <w:gridCol w:w="1646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bookmarkStart w:id="0" w:name="_Hlk167956921"/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优秀</w:t>
            </w:r>
          </w:p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(100&gt;x</w:t>
            </w:r>
            <w:r>
              <w:rPr>
                <w:rFonts w:hint="default"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90)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良好</w:t>
            </w:r>
          </w:p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(90&gt; x</w:t>
            </w:r>
            <w:r>
              <w:rPr>
                <w:rFonts w:hint="default"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80)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中等</w:t>
            </w:r>
          </w:p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(80&gt; x</w:t>
            </w:r>
            <w:r>
              <w:rPr>
                <w:rFonts w:hint="default"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70)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及格</w:t>
            </w:r>
          </w:p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(70&gt; x</w:t>
            </w:r>
            <w:r>
              <w:rPr>
                <w:rFonts w:hint="default"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60)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不及格</w:t>
            </w:r>
          </w:p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(x &lt;60)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课堂表现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）课堂测验、回答问题正确，且能进行解释（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）提问、讨论发言观点正确，问题有深度、有创新（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）课堂测验、回答问题正确，但解释欠清楚（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）提问、讨论发言观点正确，但问题无深度或无创新（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）课堂测验、回答问题大部分正确，且不能解释（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）提问、讨论发言观点基本正确，但问题无深度、无创新（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）课堂测验、回答问题错误率在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30~50%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之间，且不能解释（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）提问、讨论发言观点有部分错误，或逻辑不严密（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）课堂测验、回答问题错误率超过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，且不能解释（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）提问、讨论发言观点错误，思路不清晰，逻辑不严密（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eastAsia="zh-CN"/>
              </w:rPr>
              <w:t>平时作业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）答案正确率超过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90%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）部分作业完成方法、思路有创新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）作业正确率在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80~89%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）作业正确率在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）书写较规范，无抄袭，态度基本端正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）作业正确率在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）书写不够规范，或有少量抄袭痕迹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）作业正确率在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以下（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）书写不规范，有明显抄袭，或有部分作业未完成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。未提交作业记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阶段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eastAsia="zh-CN"/>
              </w:rPr>
              <w:t>测试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按时完成全部测验，正确率在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90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－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100%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80-89%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未全部完成测验，或正确率在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以下。</w:t>
            </w:r>
          </w:p>
        </w:tc>
      </w:tr>
      <w:bookmarkEnd w:id="0"/>
    </w:tbl>
    <w:p>
      <w:pPr>
        <w:snapToGrid w:val="0"/>
        <w:spacing w:line="400" w:lineRule="exact"/>
        <w:rPr>
          <w:rFonts w:hint="eastAsia" w:ascii="Times New Roman" w:cs="Times New Roman"/>
          <w:sz w:val="24"/>
          <w:szCs w:val="24"/>
        </w:rPr>
      </w:pPr>
    </w:p>
    <w:p>
      <w:pPr>
        <w:pStyle w:val="3"/>
        <w:kinsoku w:val="0"/>
        <w:overflowPunct w:val="0"/>
        <w:snapToGrid w:val="0"/>
        <w:spacing w:before="0" w:after="120" w:afterLines="50"/>
        <w:ind w:left="0" w:firstLine="562" w:firstLineChars="200"/>
        <w:rPr>
          <w:rFonts w:ascii="Times New Roman" w:eastAsia="黑体" w:cs="Times New Roman"/>
        </w:rPr>
      </w:pPr>
      <w:r>
        <w:rPr>
          <w:rFonts w:hint="eastAsia" w:ascii="Times New Roman" w:eastAsia="黑体" w:cs="Times New Roman"/>
        </w:rPr>
        <w:t>五、其它说明</w:t>
      </w:r>
    </w:p>
    <w:p>
      <w:pPr>
        <w:snapToGrid w:val="0"/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本课程大纲依据</w:t>
      </w:r>
      <w:r>
        <w:rPr>
          <w:rFonts w:ascii="Times New Roman" w:cs="Times New Roman"/>
          <w:sz w:val="24"/>
          <w:szCs w:val="24"/>
        </w:rPr>
        <w:t>2023</w:t>
      </w:r>
      <w:r>
        <w:rPr>
          <w:rFonts w:hint="eastAsia" w:ascii="Times New Roman" w:cs="Times New Roman"/>
          <w:sz w:val="24"/>
          <w:szCs w:val="24"/>
        </w:rPr>
        <w:t>版材料科学与工程专业人才培养方案，由材料科学与工程学院材料加工教学</w:t>
      </w:r>
      <w:r>
        <w:rPr>
          <w:rFonts w:hint="eastAsia" w:ascii="Times New Roman" w:cs="Times New Roman"/>
          <w:sz w:val="21"/>
          <w:szCs w:val="21"/>
        </w:rPr>
        <w:t>系</w:t>
      </w:r>
      <w:r>
        <w:rPr>
          <w:rFonts w:hint="eastAsia" w:ascii="Times New Roman" w:cs="Times New Roman"/>
          <w:sz w:val="24"/>
          <w:szCs w:val="24"/>
        </w:rPr>
        <w:t>讨论制定，材料科学与工程学院教学工作委员会审定，教务处审核批准，自</w:t>
      </w:r>
      <w:r>
        <w:rPr>
          <w:rFonts w:ascii="Times New Roman" w:cs="Times New Roman"/>
          <w:sz w:val="24"/>
          <w:szCs w:val="24"/>
        </w:rPr>
        <w:t>2023</w:t>
      </w:r>
      <w:r>
        <w:rPr>
          <w:rFonts w:hint="eastAsia" w:ascii="Times New Roman" w:cs="Times New Roman"/>
          <w:sz w:val="24"/>
          <w:szCs w:val="24"/>
        </w:rPr>
        <w:t>级开始执行。</w:t>
      </w:r>
    </w:p>
    <w:p>
      <w:pPr>
        <w:snapToGrid w:val="0"/>
        <w:spacing w:line="400" w:lineRule="exact"/>
        <w:ind w:firstLine="440" w:firstLineChars="200"/>
        <w:rPr>
          <w:rFonts w:ascii="Times New Roman" w:cs="Times New Roman"/>
          <w:szCs w:val="21"/>
        </w:rPr>
      </w:pPr>
    </w:p>
    <w:sectPr>
      <w:pgSz w:w="11910" w:h="16840"/>
      <w:pgMar w:top="1417" w:right="1417" w:bottom="1417" w:left="141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明黑等宽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2540" r="0" b="190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yxwC0QAAAAIBAAAPAAAAAAAAAAEAIAAAACIAAABkcnMvZG93&#10;bnJldi54bWxQSwECFAAUAAAACACHTuJA2ILGCgcCAAABBAAADgAAAAAAAAABACAAAAAg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20"/>
  <w:drawingGridHorizontalSpacing w:val="110"/>
  <w:drawingGridVerticalSpacing w:val="120"/>
  <w:doNotShadeFormData w:val="1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0OGE3N2JmZWQ2YjEyYjVkYzZjNTdmYWJhMzNiODEifQ=="/>
  </w:docVars>
  <w:rsids>
    <w:rsidRoot w:val="00526C74"/>
    <w:rsid w:val="00014E60"/>
    <w:rsid w:val="00020912"/>
    <w:rsid w:val="00215BBF"/>
    <w:rsid w:val="00247869"/>
    <w:rsid w:val="00354C4B"/>
    <w:rsid w:val="003D3D38"/>
    <w:rsid w:val="00481740"/>
    <w:rsid w:val="004F1C92"/>
    <w:rsid w:val="00526C74"/>
    <w:rsid w:val="005B431C"/>
    <w:rsid w:val="005E2381"/>
    <w:rsid w:val="00696DEC"/>
    <w:rsid w:val="006D185B"/>
    <w:rsid w:val="00713FA4"/>
    <w:rsid w:val="00740FA9"/>
    <w:rsid w:val="00812C34"/>
    <w:rsid w:val="008C2865"/>
    <w:rsid w:val="009C1C5F"/>
    <w:rsid w:val="00A36893"/>
    <w:rsid w:val="00A73D2B"/>
    <w:rsid w:val="00B05384"/>
    <w:rsid w:val="00D0439B"/>
    <w:rsid w:val="00D86D03"/>
    <w:rsid w:val="00DC36FF"/>
    <w:rsid w:val="00E459F3"/>
    <w:rsid w:val="00F64653"/>
    <w:rsid w:val="14EF5D19"/>
    <w:rsid w:val="16104199"/>
    <w:rsid w:val="33D553FF"/>
    <w:rsid w:val="4157061F"/>
    <w:rsid w:val="51562C51"/>
    <w:rsid w:val="6CA8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iPriority="35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10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semiHidden="0" w:name="Balloon Text"/>
    <w:lsdException w:qFormat="1" w:unhideWhenUsed="0" w:uiPriority="39" w:semiHidden="0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link w:val="18"/>
    <w:qFormat/>
    <w:uiPriority w:val="1"/>
    <w:pPr>
      <w:ind w:left="1475" w:right="1873"/>
      <w:jc w:val="center"/>
      <w:outlineLvl w:val="0"/>
    </w:pPr>
    <w:rPr>
      <w:sz w:val="48"/>
      <w:szCs w:val="48"/>
    </w:rPr>
  </w:style>
  <w:style w:type="paragraph" w:styleId="3">
    <w:name w:val="heading 2"/>
    <w:basedOn w:val="1"/>
    <w:link w:val="16"/>
    <w:qFormat/>
    <w:uiPriority w:val="1"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4">
    <w:name w:val="heading 3"/>
    <w:basedOn w:val="1"/>
    <w:link w:val="17"/>
    <w:qFormat/>
    <w:uiPriority w:val="1"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unhideWhenUsed/>
    <w:uiPriority w:val="99"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paragraph" w:styleId="6">
    <w:name w:val="Body Text"/>
    <w:basedOn w:val="1"/>
    <w:link w:val="22"/>
    <w:unhideWhenUsed/>
    <w:qFormat/>
    <w:uiPriority w:val="1"/>
    <w:rPr>
      <w:sz w:val="24"/>
      <w:szCs w:val="24"/>
    </w:rPr>
  </w:style>
  <w:style w:type="paragraph" w:styleId="7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eader"/>
    <w:basedOn w:val="1"/>
    <w:link w:val="39"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10">
    <w:name w:val="Normal (Web)"/>
    <w:basedOn w:val="1"/>
    <w:unhideWhenUsed/>
    <w:qFormat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Hyperlink"/>
    <w:basedOn w:val="12"/>
    <w:unhideWhenUsed/>
    <w:uiPriority w:val="99"/>
    <w:rPr>
      <w:color w:val="0000FF"/>
      <w:u w:val="single"/>
    </w:rPr>
  </w:style>
  <w:style w:type="character" w:styleId="15">
    <w:name w:val="annotation reference"/>
    <w:basedOn w:val="12"/>
    <w:unhideWhenUsed/>
    <w:qFormat/>
    <w:uiPriority w:val="99"/>
    <w:rPr>
      <w:rFonts w:cs="Times New Roman"/>
      <w:sz w:val="21"/>
      <w:szCs w:val="21"/>
    </w:rPr>
  </w:style>
  <w:style w:type="character" w:customStyle="1" w:styleId="16">
    <w:name w:val="标题 2 字符"/>
    <w:basedOn w:val="12"/>
    <w:link w:val="3"/>
    <w:unhideWhenUsed/>
    <w:qFormat/>
    <w:locked/>
    <w:uiPriority w:val="9"/>
    <w:rPr>
      <w:rFonts w:ascii="Cambria" w:hAnsi="Cambria" w:cs="Times New Roman"/>
      <w:b/>
      <w:sz w:val="32"/>
      <w:szCs w:val="32"/>
    </w:rPr>
  </w:style>
  <w:style w:type="character" w:customStyle="1" w:styleId="17">
    <w:name w:val="标题 3 字符"/>
    <w:basedOn w:val="12"/>
    <w:link w:val="4"/>
    <w:semiHidden/>
    <w:qFormat/>
    <w:locked/>
    <w:uiPriority w:val="9"/>
    <w:rPr>
      <w:rFonts w:ascii="宋体" w:cs="宋体"/>
      <w:b/>
      <w:bCs/>
      <w:kern w:val="0"/>
      <w:sz w:val="32"/>
      <w:szCs w:val="32"/>
    </w:rPr>
  </w:style>
  <w:style w:type="character" w:customStyle="1" w:styleId="18">
    <w:name w:val="标题 1 字符"/>
    <w:basedOn w:val="12"/>
    <w:link w:val="2"/>
    <w:qFormat/>
    <w:locked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19">
    <w:name w:val="link-new"/>
    <w:basedOn w:val="12"/>
    <w:unhideWhenUsed/>
    <w:qFormat/>
    <w:uiPriority w:val="0"/>
    <w:rPr>
      <w:rFonts w:cs="Times New Roman"/>
    </w:rPr>
  </w:style>
  <w:style w:type="character" w:customStyle="1" w:styleId="20">
    <w:name w:val="15"/>
    <w:basedOn w:val="12"/>
    <w:unhideWhenUsed/>
    <w:qFormat/>
    <w:uiPriority w:val="0"/>
    <w:rPr>
      <w:rFonts w:ascii="Calibri" w:hAnsi="Calibri" w:cs="Calibri"/>
      <w:sz w:val="21"/>
      <w:szCs w:val="21"/>
    </w:rPr>
  </w:style>
  <w:style w:type="character" w:customStyle="1" w:styleId="21">
    <w:name w:val="批注框文本 字符1"/>
    <w:basedOn w:val="12"/>
    <w:link w:val="7"/>
    <w:unhideWhenUsed/>
    <w:qFormat/>
    <w:locked/>
    <w:uiPriority w:val="99"/>
    <w:rPr>
      <w:rFonts w:ascii="宋体" w:cs="宋体"/>
      <w:sz w:val="18"/>
      <w:szCs w:val="18"/>
    </w:rPr>
  </w:style>
  <w:style w:type="character" w:customStyle="1" w:styleId="22">
    <w:name w:val="正文文本 字符1"/>
    <w:basedOn w:val="12"/>
    <w:link w:val="6"/>
    <w:unhideWhenUsed/>
    <w:qFormat/>
    <w:locked/>
    <w:uiPriority w:val="99"/>
    <w:rPr>
      <w:rFonts w:ascii="宋体" w:cs="宋体"/>
      <w:sz w:val="22"/>
    </w:rPr>
  </w:style>
  <w:style w:type="character" w:customStyle="1" w:styleId="23">
    <w:name w:val="批注文字 字符1"/>
    <w:basedOn w:val="12"/>
    <w:link w:val="5"/>
    <w:unhideWhenUsed/>
    <w:qFormat/>
    <w:locked/>
    <w:uiPriority w:val="99"/>
    <w:rPr>
      <w:rFonts w:cs="Times New Roman"/>
      <w:sz w:val="22"/>
      <w:szCs w:val="22"/>
    </w:rPr>
  </w:style>
  <w:style w:type="character" w:customStyle="1" w:styleId="24">
    <w:name w:val="10"/>
    <w:basedOn w:val="12"/>
    <w:unhideWhenUsed/>
    <w:qFormat/>
    <w:uiPriority w:val="0"/>
    <w:rPr>
      <w:rFonts w:ascii="Calibri" w:hAnsi="Calibri" w:cs="Calibri"/>
    </w:rPr>
  </w:style>
  <w:style w:type="character" w:customStyle="1" w:styleId="25">
    <w:name w:val="style121"/>
    <w:basedOn w:val="12"/>
    <w:unhideWhenUsed/>
    <w:qFormat/>
    <w:uiPriority w:val="0"/>
    <w:rPr>
      <w:rFonts w:cs="Times New Roman"/>
      <w:sz w:val="22"/>
      <w:szCs w:val="22"/>
    </w:rPr>
  </w:style>
  <w:style w:type="character" w:customStyle="1" w:styleId="26">
    <w:name w:val="批注文字 字符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7">
    <w:name w:val="批注文字 Char1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28">
    <w:name w:val="批注文字 Char12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9">
    <w:name w:val="批注文字 Char11"/>
    <w:basedOn w:val="12"/>
    <w:semiHidden/>
    <w:uiPriority w:val="99"/>
    <w:rPr>
      <w:rFonts w:ascii="宋体" w:cs="宋体"/>
      <w:kern w:val="0"/>
      <w:sz w:val="22"/>
    </w:rPr>
  </w:style>
  <w:style w:type="character" w:customStyle="1" w:styleId="30">
    <w:name w:val="正文文本 字符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1">
    <w:name w:val="正文文本 Char1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2">
    <w:name w:val="正文文本 Char12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33">
    <w:name w:val="正文文本 Char11"/>
    <w:basedOn w:val="12"/>
    <w:semiHidden/>
    <w:uiPriority w:val="99"/>
    <w:rPr>
      <w:rFonts w:ascii="宋体" w:cs="宋体"/>
      <w:kern w:val="0"/>
      <w:sz w:val="22"/>
    </w:rPr>
  </w:style>
  <w:style w:type="character" w:customStyle="1" w:styleId="34">
    <w:name w:val="批注框文本 字符"/>
    <w:basedOn w:val="12"/>
    <w:semiHidden/>
    <w:qFormat/>
    <w:uiPriority w:val="99"/>
    <w:rPr>
      <w:rFonts w:ascii="宋体" w:cs="宋体"/>
      <w:kern w:val="0"/>
      <w:sz w:val="18"/>
      <w:szCs w:val="18"/>
    </w:rPr>
  </w:style>
  <w:style w:type="character" w:customStyle="1" w:styleId="35">
    <w:name w:val="批注框文本 Char1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36">
    <w:name w:val="批注框文本 Char12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37">
    <w:name w:val="批注框文本 Char11"/>
    <w:basedOn w:val="12"/>
    <w:semiHidden/>
    <w:qFormat/>
    <w:uiPriority w:val="99"/>
    <w:rPr>
      <w:rFonts w:ascii="宋体" w:cs="宋体"/>
      <w:kern w:val="0"/>
      <w:sz w:val="18"/>
      <w:szCs w:val="18"/>
    </w:rPr>
  </w:style>
  <w:style w:type="character" w:customStyle="1" w:styleId="38">
    <w:name w:val="页脚 字符"/>
    <w:basedOn w:val="12"/>
    <w:link w:val="8"/>
    <w:semiHidden/>
    <w:locked/>
    <w:uiPriority w:val="99"/>
    <w:rPr>
      <w:rFonts w:ascii="宋体" w:cs="宋体"/>
      <w:kern w:val="0"/>
      <w:sz w:val="18"/>
      <w:szCs w:val="18"/>
    </w:rPr>
  </w:style>
  <w:style w:type="character" w:customStyle="1" w:styleId="39">
    <w:name w:val="页眉 字符"/>
    <w:basedOn w:val="12"/>
    <w:link w:val="9"/>
    <w:semiHidden/>
    <w:locked/>
    <w:uiPriority w:val="99"/>
    <w:rPr>
      <w:rFonts w:ascii="宋体" w:cs="宋体"/>
      <w:kern w:val="0"/>
      <w:sz w:val="18"/>
      <w:szCs w:val="18"/>
    </w:rPr>
  </w:style>
  <w:style w:type="paragraph" w:customStyle="1" w:styleId="40">
    <w:name w:val="Table Paragraph"/>
    <w:basedOn w:val="1"/>
    <w:unhideWhenUsed/>
    <w:qFormat/>
    <w:uiPriority w:val="1"/>
    <w:rPr>
      <w:sz w:val="24"/>
      <w:szCs w:val="24"/>
    </w:rPr>
  </w:style>
  <w:style w:type="paragraph" w:customStyle="1" w:styleId="41">
    <w:name w:val="列出段落2"/>
    <w:basedOn w:val="1"/>
    <w:unhideWhenUsed/>
    <w:qFormat/>
    <w:uiPriority w:val="99"/>
    <w:pPr>
      <w:autoSpaceDE/>
      <w:autoSpaceDN/>
      <w:adjustRightInd/>
      <w:ind w:firstLine="420" w:firstLineChars="200"/>
      <w:jc w:val="both"/>
    </w:pPr>
    <w:rPr>
      <w:rFonts w:ascii="Times New Roman" w:cs="Times New Roman"/>
      <w:kern w:val="2"/>
      <w:sz w:val="21"/>
      <w:szCs w:val="24"/>
    </w:rPr>
  </w:style>
  <w:style w:type="paragraph" w:styleId="42">
    <w:name w:val="List Paragraph"/>
    <w:basedOn w:val="1"/>
    <w:qFormat/>
    <w:uiPriority w:val="99"/>
    <w:pPr>
      <w:spacing w:before="154"/>
      <w:ind w:left="22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3976</Words>
  <Characters>4240</Characters>
  <Lines>28</Lines>
  <Paragraphs>7</Paragraphs>
  <TotalTime>5</TotalTime>
  <ScaleCrop>false</ScaleCrop>
  <LinksUpToDate>false</LinksUpToDate>
  <CharactersWithSpaces>4291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2024-05-30T09:59:00Z</dcterms:created>
  <dc:creator>Administrator</dc:creator>
  <cp:lastModifiedBy>戴甲洪-长江师范学院</cp:lastModifiedBy>
  <dcterms:modified xsi:type="dcterms:W3CDTF">2024-06-02T06:56:27Z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55653A19B89A46019FE86C5805B1CDB6_12</vt:lpwstr>
  </property>
</Properties>
</file>