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材料力学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》实验课程教学大纲</w:t>
      </w:r>
    </w:p>
    <w:p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材料力学实验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Experiment of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szCs w:val="21"/>
              </w:rPr>
              <w:t>aterial M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echanic</w:t>
            </w:r>
            <w:r>
              <w:rPr>
                <w:rFonts w:ascii="Times New Roman" w:hAnsi="Times New Roman" w:eastAsia="宋体" w:cs="Times New Roman"/>
                <w:szCs w:val="21"/>
              </w:rPr>
              <w:t>s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是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21114017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0.5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int="eastAsia" w:hAnsi="宋体"/>
                <w:szCs w:val="21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hAnsi="宋体"/>
                <w:szCs w:val="21"/>
                <w:lang w:bidi="ar"/>
              </w:rPr>
              <w:t>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报告   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课堂表现  □阶段性测试  □平时作业   □其他</w:t>
            </w:r>
            <w:r>
              <w:rPr>
                <w:rFonts w:hint="eastAsia" w:hAnsi="宋体"/>
                <w:szCs w:val="21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材料成型及控制工程专业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材料成型及控制工程专业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第4学期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朱全喜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大学物理实验（一）、工程训练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模具材料及热处理实验、材料成型综合实验、冲压工艺及模具设计课程设计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王育平等编.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北京航空航天大学出版社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2004. 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王绍铭著.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材料力学实验教程.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西南交通大学出版社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2008.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邹广平、张学义等编.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材料力学实验基础. 哈尔滨工业大学出版社,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2010.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刘鸿文、吕荣坤等编.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材料力学实验(第4版). 北京：高等教育出版社,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2017.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虚拟仿真实验室教学内容资源（崇智楼4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06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中国大学</w:t>
            </w:r>
            <w:r>
              <w:rPr>
                <w:rFonts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Cambria" w:hAnsi="Cambria" w:cs="Cambr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OO</w:t>
            </w:r>
            <w:r>
              <w:rPr>
                <w:rFonts w:hint="eastAsia" w:ascii="Cambria" w:hAnsi="Cambria" w:cs="Cambr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C课</w:t>
            </w:r>
            <w:r>
              <w:rPr>
                <w:rFonts w:hint="eastAsia"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官网、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互联网资源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材料力学》实验课程是一门实践性很强的专业实验课程，通过进行力学性能测试和实验分析，使学生能够了解各种材料力学测试方法和实验技术，培养学生的实验设计和实验数据处理能力。通过学习材料力学实验课程，学生应掌握实验室安全操作规范和基本实验技巧，具备独立进行力学测试实验和实验项目设计的能力；熟悉常见材料力学测试方法和仪器设备，能够进行拉伸、压缩、弯曲等力学性能测试和结果分析；能够分析材料在不同受力状态下的应力-应变关系，理解材料力学性能的基本特征和力学行为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掌握测定材料性质实验的基本知识、基本技能和基本方法，实验应力分析的基本概念，熟悉材料力学理论的验证方法；具有严谨认真、实事求是、积极进取、崇尚科学、探究科学、勇于创新的科学态度和新时代中国特色社会主义的劳动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通过实验课程的学习和实际操作，使学生加深对材料力学原理的理解，培养学生独立分析问题和解决问题的能力、综合设计及创新的能力；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具有团队合作精神、社会责任感、安全与环保意识</w:t>
            </w:r>
          </w:p>
        </w:tc>
      </w:tr>
    </w:tbl>
    <w:p>
      <w:pPr>
        <w:adjustRightInd w:val="0"/>
        <w:snapToGrid w:val="0"/>
        <w:spacing w:line="400" w:lineRule="exact"/>
        <w:jc w:val="left"/>
        <w:rPr>
          <w:rFonts w:ascii="宋体" w:hAnsi="宋体" w:eastAsia="宋体" w:cs="宋体"/>
          <w:color w:val="FF0000"/>
          <w:szCs w:val="21"/>
        </w:rPr>
      </w:pPr>
    </w:p>
    <w:p>
      <w:pPr>
        <w:pStyle w:val="21"/>
        <w:spacing w:line="320" w:lineRule="exact"/>
        <w:ind w:left="420" w:firstLine="422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2 </w:t>
      </w:r>
      <w:r>
        <w:rPr>
          <w:rFonts w:hint="eastAsia" w:ascii="Times New Roman" w:cs="Times New Roman"/>
          <w:b/>
          <w:szCs w:val="21"/>
        </w:rPr>
        <w:t>课程目标与毕业要求对应关系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6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215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2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215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4</w:t>
            </w: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研究：【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>
            <w:pPr>
              <w:spacing w:line="360" w:lineRule="auto"/>
              <w:jc w:val="both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指标点</w:t>
            </w:r>
            <w:r>
              <w:rPr>
                <w:rFonts w:ascii="Times New Roman" w:cs="Times New Roman"/>
                <w:color w:val="000000"/>
                <w:szCs w:val="21"/>
              </w:rPr>
              <w:t>4.3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：能够根据实验方案构建实验系统，安全地开展实验，正确地采集实验数据。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4</w:t>
            </w: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研究：【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>
            <w:pPr>
              <w:spacing w:line="360" w:lineRule="auto"/>
              <w:jc w:val="both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指标点</w:t>
            </w:r>
            <w:r>
              <w:rPr>
                <w:rFonts w:ascii="Times New Roman" w:cs="Times New Roman"/>
                <w:color w:val="000000"/>
                <w:szCs w:val="21"/>
              </w:rPr>
              <w:t>4.4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：通过实验获得有效数据，能够对实验结果进行合理分析和解释，得出有效结论。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Cs w:val="21"/>
              </w:rPr>
              <w:t>2</w:t>
            </w:r>
          </w:p>
        </w:tc>
      </w:tr>
    </w:tbl>
    <w:p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1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0"/>
        <w:gridCol w:w="1555"/>
        <w:gridCol w:w="5314"/>
        <w:gridCol w:w="690"/>
        <w:gridCol w:w="847"/>
        <w:gridCol w:w="689"/>
        <w:gridCol w:w="707"/>
        <w:gridCol w:w="1133"/>
        <w:gridCol w:w="6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8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70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113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低碳钢与铸铁拉伸实验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将低碳钢、铸铁试件拉至断裂，绘制拉伸曲线（难点）；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观察屈服、强化和颈缩现象，记录相关数据（重点）；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计算屈服极限、强度极限、延伸率和断面收缩率难点；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4.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分析比较其主要力学性能</w:t>
            </w:r>
            <w:r>
              <w:rPr>
                <w:rFonts w:hint="eastAsia" w:ascii="Times New Roman" w:hAnsi="Times New Roman" w:eastAsia="宋体" w:cs="Times New Roman"/>
              </w:rPr>
              <w:t>（难点）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。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低碳钢与铸铁压缩实验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</w:rPr>
              <w:t>将低碳钢试件压至鼓形，观察屈服现象；将铸铁试件压至断裂，观察断口形状，记录相关数据（重点）；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计算屈服极限、强度极限（重点）；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分析比较两种材料主要力学性能（难点）。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实验3：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低碳钢扭转实验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 将低碳钢铸铁试件扭转至断裂，观察其屈服、破坏现象，绘制T-φ曲线，记录相关数据（重点）；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</w:rPr>
              <w:t>分析比较断口形状及两种材料主要力学性能（难点）；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</w:t>
            </w:r>
            <w:r>
              <w:rPr>
                <w:rFonts w:ascii="Times New Roman" w:hAnsi="Times New Roman" w:eastAsia="宋体" w:cs="Times New Roma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</w:rPr>
              <w:t>计算剪切屈服极限和剪切强度极限（重点）。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实验4：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低碳钢冲击韧性实验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将试件在冲击下发生断裂，观察分析两种材料破坏断口的形貌（重点）；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比较两种材料在冲击载荷作用所表现的性能（难点）；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计算其冲击韧度值。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pStyle w:val="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</w:t>
      </w:r>
      <w:r>
        <w:rPr>
          <w:rFonts w:ascii="Times New Roman" w:cs="Times New Roman"/>
          <w:b/>
          <w:sz w:val="21"/>
          <w:szCs w:val="21"/>
        </w:rPr>
        <w:t>-1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486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4401"/>
        <w:gridCol w:w="1412"/>
        <w:gridCol w:w="992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>
            <w:pPr>
              <w:pStyle w:val="24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71"/>
              <w:ind w:right="177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201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line="278" w:lineRule="auto"/>
              <w:ind w:right="9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1.了解实验原理、实验仪器设备、操作过程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1、</w:t>
            </w:r>
            <w:r>
              <w:rPr>
                <w:rFonts w:hint="default" w:asci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hint="default"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/>
                <w:sz w:val="22"/>
                <w:szCs w:val="22"/>
              </w:rPr>
              <w:t>、4</w:t>
            </w:r>
          </w:p>
        </w:tc>
        <w:tc>
          <w:tcPr>
            <w:tcW w:w="54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60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素质考核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自主学习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2.计算低碳钢和铸铁拉伸、压缩时的屈服极限或强度极限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default"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hint="default"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3.计算试样材料冲击韧度值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4.计算试样剪切屈服极限和剪切强度极限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2"/>
              <w:jc w:val="center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right="9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1.绘制低碳钢、铸铁的拉伸应力应变曲线；分组讨论比较其主要力学性能。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素质考核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自主学习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>
            <w:pPr>
              <w:pStyle w:val="24"/>
              <w:tabs>
                <w:tab w:val="left" w:pos="455"/>
              </w:tabs>
              <w:kinsoku w:val="0"/>
              <w:overflowPunct w:val="0"/>
              <w:ind w:firstLine="220" w:firstLineChars="10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2.将低碳钢试件压至鼓形，观察低碳钢屈服现象、铸铁拉伸断口形状，记录相关数据；运用所学理论分析讨论断口差异性。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3.将试件在冲击下发生断裂，观察分析两种材料破坏断口的形貌；分组讨论，比较两种材料在冲击载荷作用所表现的差异性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4.将低碳钢铸铁试件扭转至断裂，观察其屈服、破坏现象，绘制T-φ曲线，记录相关数据；分组讨论，分析比较断口形状及两种材料主要力学性能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</w:tbl>
    <w:p>
      <w:pPr>
        <w:kinsoku w:val="0"/>
        <w:overflowPunct w:val="0"/>
        <w:spacing w:before="66"/>
        <w:jc w:val="center"/>
        <w:rPr>
          <w:rFonts w:ascii="Times New Roman" w:cs="Times New Roman"/>
          <w:b/>
          <w:szCs w:val="21"/>
        </w:rPr>
      </w:pPr>
    </w:p>
    <w:p>
      <w:pPr>
        <w:kinsoku w:val="0"/>
        <w:overflowPunct w:val="0"/>
        <w:spacing w:before="66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4-2 </w:t>
      </w:r>
      <w:r>
        <w:rPr>
          <w:rFonts w:hint="eastAsia" w:ascii="Times New Roman" w:cs="Times New Roman"/>
          <w:b/>
          <w:szCs w:val="21"/>
        </w:rPr>
        <w:t>课程目标与考核方式矩阵关系</w:t>
      </w:r>
    </w:p>
    <w:tbl>
      <w:tblPr>
        <w:tblStyle w:val="10"/>
        <w:tblW w:w="7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134"/>
        <w:gridCol w:w="1134"/>
        <w:gridCol w:w="1134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16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素质考核</w:t>
            </w:r>
            <w:r>
              <w:rPr>
                <w:rFonts w:ascii="Times New Roman" w:cs="Times New Roman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自主学习</w:t>
            </w:r>
            <w:r>
              <w:rPr>
                <w:rFonts w:ascii="Times New Roman" w:cs="Times New Roman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实验操作</w:t>
            </w:r>
            <w:r>
              <w:rPr>
                <w:rFonts w:ascii="Times New Roman" w:cs="Times New Roman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实验报告</w:t>
            </w: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275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16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  <w:r>
              <w:rPr>
                <w:rFonts w:asci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275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16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  <w:r>
              <w:rPr>
                <w:rFonts w:asci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275" w:type="dxa"/>
            <w:vAlign w:val="center"/>
          </w:tcPr>
          <w:p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spacing w:before="8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1</w:t>
      </w:r>
      <w:r>
        <w:rPr>
          <w:rFonts w:ascii="Times" w:hAnsi="Times New Roman" w:eastAsia="宋体" w:cs="Times"/>
          <w:b/>
          <w:kern w:val="0"/>
          <w:sz w:val="24"/>
          <w:szCs w:val="24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平时成绩评定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素质考核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通过线上和线下评价学生的学习态度（卫生、纪律、课堂发言与提问、回答问题等）、学习兴趣、科学精神、实验习惯、社会责任、安全与环保意识、创新精神与创新能力、沟通交流、团队合作与终身学习意识、劳动态度、劳动精神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自主学习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：包括学生课前对实验的预习完成情况等。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实验操作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：考察学生实验操作的规范性、安全性等。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实验报告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（60%）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：考察学生对实验结果的分析总结，判断对于知识点的掌握情况，最终实验报告成绩取所有报告成绩的算术平均值。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hint="eastAsia" w:ascii="Times" w:hAnsi="Times" w:eastAsia="宋体" w:cs="Times"/>
          <w:b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期末成绩评定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暂无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总成绩取所有实验平时成绩的算术平均值。总成绩（100%）=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素质考核（10%）+自主学习（10%）+实验操作（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0%）</w:t>
      </w:r>
      <w:bookmarkStart w:id="0" w:name="_GoBack"/>
      <w:bookmarkEnd w:id="0"/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+实验报告（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%）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4"/>
          <w:szCs w:val="24"/>
        </w:rPr>
        <w:t>评分标准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标准</w:t>
      </w:r>
    </w:p>
    <w:tbl>
      <w:tblPr>
        <w:tblStyle w:val="10"/>
        <w:tblW w:w="8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581"/>
        <w:gridCol w:w="1455"/>
        <w:gridCol w:w="1455"/>
        <w:gridCol w:w="1455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3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3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自主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学习</w:t>
            </w:r>
          </w:p>
        </w:tc>
        <w:tc>
          <w:tcPr>
            <w:tcW w:w="1581" w:type="dxa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）按时学完推送资源的自主学习（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）能够就自学内容进行小组讨论或课堂讨论，观点正确，问题有深度、有创新（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）能够就自学内容进行小组讨论或课堂讨论，观点正确，但问题深度、创新性不够（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）能够就自学内容进行小组讨论或课堂讨论，观点基本正确，但问题深度、创新性不够（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）能够就自学内容进行小组讨论或课堂讨论，但观点部分不正确，或存在明显复制现象（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12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）学完推送资源不足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）无法就自学内容进行小组讨论或课堂讨论，存在明显复制现象（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81" w:type="dxa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；遵守纪律，无迟到、早退、缺勤情况；实验兴趣浓厚，上课讨论发言积极；有严谨认真、事实求是、刻苦钻研的工作作风与科学精神（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12" w:type="dxa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）按照实验安全操作规则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自主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进行实验，实验步骤与结果正确；（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r>
              <w:t>（</w:t>
            </w:r>
            <w:r>
              <w:rPr>
                <w:rFonts w:hint="eastAsia"/>
              </w:rPr>
              <w:t>2</w:t>
            </w:r>
            <w:r>
              <w:t>）实验仪器设备完好。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）按照实验安全操作规则进行实验，实验步骤与结果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（1）通过教师指导，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按照实验安全操作规则进行实验，实验步骤与结果基本正确（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（1）通过教师和同学指导，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基本按照实验安全操作规则进行实验，实验步骤与结果基本正确（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）没有按照实验安全操作规则进行实验（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或者步骤与结果不正确。（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报告</w:t>
            </w:r>
          </w:p>
        </w:tc>
        <w:tc>
          <w:tcPr>
            <w:tcW w:w="1581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）获得充分可靠的实验数据（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）能参考文献对实验数据进行深度分析，能说明实验结果的局限性（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）报告条理清楚，行文流畅，表述准确，撰写规范。（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）获得比较可靠的实验数据（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）能参考文献对实验数据进行一定深度的分析（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）报告条理清楚，表述准确，符合规范。（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）能参考文献对实验数据进行比较有效地分析（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）报告条理基本清楚，比较符合规范。（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）参考少量文献对数据进行简单分析（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）报告条理基本清楚，基本符合规范。（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）没有获得有效数据；（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（2）无法对实验结果进行有效分析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）或报告思路混乱，表达不清。（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材料成型及控制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材料成型及控制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专业教学系讨论制定，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院教学工作委员会审定，教务处审核批准，自2023级开始执行。</w: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904AF2-CCCC-42A0-B565-9907E8769D5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20C05B2-D23A-45EB-95C1-964BF4D0F1FA}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CFE6C824-5DA2-433B-9548-85F0B3A1904C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  <w:embedRegular r:id="rId4" w:fontKey="{B99B3C39-9A6F-4503-BD18-A4B1AF9D433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7C74BA90-2DD0-427E-9010-85DC1752C88B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  <w:embedRegular r:id="rId6" w:fontKey="{55ED9F5C-9CB9-48F3-8C7A-271E46E786FA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8535691D-4FDF-45E6-A627-0221192F283B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  <w:embedRegular r:id="rId8" w:fontKey="{E89FC4DC-211E-4D7C-96A4-977732BF0D09}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BD70A"/>
    <w:multiLevelType w:val="singleLevel"/>
    <w:tmpl w:val="12CBD7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06DDF"/>
    <w:rsid w:val="0002098E"/>
    <w:rsid w:val="000314D1"/>
    <w:rsid w:val="000522B0"/>
    <w:rsid w:val="00085F49"/>
    <w:rsid w:val="0009236E"/>
    <w:rsid w:val="000C5191"/>
    <w:rsid w:val="000D6B29"/>
    <w:rsid w:val="000D769A"/>
    <w:rsid w:val="001222A6"/>
    <w:rsid w:val="001C3EE8"/>
    <w:rsid w:val="001C72BE"/>
    <w:rsid w:val="001D02A4"/>
    <w:rsid w:val="001D24B0"/>
    <w:rsid w:val="001E4823"/>
    <w:rsid w:val="001E5561"/>
    <w:rsid w:val="001F0978"/>
    <w:rsid w:val="00241260"/>
    <w:rsid w:val="00291C10"/>
    <w:rsid w:val="002C4CAB"/>
    <w:rsid w:val="002D45DB"/>
    <w:rsid w:val="00300172"/>
    <w:rsid w:val="00302392"/>
    <w:rsid w:val="00317DE6"/>
    <w:rsid w:val="00324A2C"/>
    <w:rsid w:val="003320AB"/>
    <w:rsid w:val="00335509"/>
    <w:rsid w:val="003423C7"/>
    <w:rsid w:val="003708BC"/>
    <w:rsid w:val="003B0F3D"/>
    <w:rsid w:val="003C51E5"/>
    <w:rsid w:val="00400041"/>
    <w:rsid w:val="004770EC"/>
    <w:rsid w:val="004C400D"/>
    <w:rsid w:val="004F64DB"/>
    <w:rsid w:val="004F6A16"/>
    <w:rsid w:val="00530E74"/>
    <w:rsid w:val="00535588"/>
    <w:rsid w:val="00542479"/>
    <w:rsid w:val="005424AA"/>
    <w:rsid w:val="00544EAA"/>
    <w:rsid w:val="005538AE"/>
    <w:rsid w:val="00602D99"/>
    <w:rsid w:val="006035BD"/>
    <w:rsid w:val="0061301C"/>
    <w:rsid w:val="006368BA"/>
    <w:rsid w:val="00636B10"/>
    <w:rsid w:val="00646594"/>
    <w:rsid w:val="00755DE1"/>
    <w:rsid w:val="00755E85"/>
    <w:rsid w:val="00764FA0"/>
    <w:rsid w:val="007A2E5A"/>
    <w:rsid w:val="007B4D36"/>
    <w:rsid w:val="007B518F"/>
    <w:rsid w:val="007C49C0"/>
    <w:rsid w:val="007F20D2"/>
    <w:rsid w:val="00816F44"/>
    <w:rsid w:val="0088020E"/>
    <w:rsid w:val="00886B4F"/>
    <w:rsid w:val="008D5C65"/>
    <w:rsid w:val="008E0B2F"/>
    <w:rsid w:val="008F4441"/>
    <w:rsid w:val="00903BA2"/>
    <w:rsid w:val="00906786"/>
    <w:rsid w:val="0091558E"/>
    <w:rsid w:val="009234CF"/>
    <w:rsid w:val="009278DF"/>
    <w:rsid w:val="00942F28"/>
    <w:rsid w:val="00947836"/>
    <w:rsid w:val="00984645"/>
    <w:rsid w:val="009B4AC7"/>
    <w:rsid w:val="009C2A8B"/>
    <w:rsid w:val="00A0174F"/>
    <w:rsid w:val="00A02E2B"/>
    <w:rsid w:val="00A06757"/>
    <w:rsid w:val="00A0719E"/>
    <w:rsid w:val="00A13F5C"/>
    <w:rsid w:val="00A17432"/>
    <w:rsid w:val="00A23A71"/>
    <w:rsid w:val="00A42C42"/>
    <w:rsid w:val="00A84745"/>
    <w:rsid w:val="00A90958"/>
    <w:rsid w:val="00AD3E5A"/>
    <w:rsid w:val="00AD5FBC"/>
    <w:rsid w:val="00AE5BF6"/>
    <w:rsid w:val="00B05D94"/>
    <w:rsid w:val="00B865F5"/>
    <w:rsid w:val="00BA000C"/>
    <w:rsid w:val="00C2471D"/>
    <w:rsid w:val="00C431A3"/>
    <w:rsid w:val="00C67328"/>
    <w:rsid w:val="00CC5792"/>
    <w:rsid w:val="00CE18CA"/>
    <w:rsid w:val="00CF195B"/>
    <w:rsid w:val="00CF3C47"/>
    <w:rsid w:val="00D1188D"/>
    <w:rsid w:val="00D14F7A"/>
    <w:rsid w:val="00D150FB"/>
    <w:rsid w:val="00D30B38"/>
    <w:rsid w:val="00D73F7E"/>
    <w:rsid w:val="00DF08E0"/>
    <w:rsid w:val="00E10BBF"/>
    <w:rsid w:val="00E11EE9"/>
    <w:rsid w:val="00E9683C"/>
    <w:rsid w:val="00EC4EB7"/>
    <w:rsid w:val="00ED5A20"/>
    <w:rsid w:val="00EF2346"/>
    <w:rsid w:val="00F03B7C"/>
    <w:rsid w:val="00F36443"/>
    <w:rsid w:val="00F417BE"/>
    <w:rsid w:val="00F47977"/>
    <w:rsid w:val="00F856C2"/>
    <w:rsid w:val="00F93584"/>
    <w:rsid w:val="00FA7E56"/>
    <w:rsid w:val="00FB1211"/>
    <w:rsid w:val="00FC348B"/>
    <w:rsid w:val="00FD3C4A"/>
    <w:rsid w:val="00FE1C84"/>
    <w:rsid w:val="00FF2587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7D965BB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4EF102A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DEE5C3F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4727</Words>
  <Characters>5075</Characters>
  <Lines>40</Lines>
  <Paragraphs>11</Paragraphs>
  <TotalTime>1</TotalTime>
  <ScaleCrop>false</ScaleCrop>
  <LinksUpToDate>false</LinksUpToDate>
  <CharactersWithSpaces>5139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戴甲洪-长江师范学院</cp:lastModifiedBy>
  <cp:lastPrinted>2023-06-29T08:57:00Z</cp:lastPrinted>
  <dcterms:modified xsi:type="dcterms:W3CDTF">2024-06-02T04:55:56Z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C370BD51641049BE9E062DE0F2129E7B_12</vt:lpwstr>
  </property>
</Properties>
</file>