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after="0"/>
        <w:jc w:val="both"/>
        <w:rPr>
          <w:rFonts w:hint="default" w:ascii="Times New Roman" w:hAnsi="Times New Roman" w:cs="Times New Roman"/>
          <w:highlight w:val="none"/>
        </w:rPr>
      </w:pPr>
    </w:p>
    <w:p>
      <w:pPr>
        <w:autoSpaceDE w:val="0"/>
        <w:autoSpaceDN w:val="0"/>
        <w:adjustRightInd w:val="0"/>
        <w:jc w:val="center"/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  <w:t>《建模方法与增材制造实验》实验课程教学大纲</w:t>
      </w:r>
    </w:p>
    <w:p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建模方法与增材制造实验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Modeling method and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dditive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anufacturing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xperiment</w:t>
            </w:r>
          </w:p>
        </w:tc>
        <w:tc>
          <w:tcPr>
            <w:tcW w:w="725" w:type="pct"/>
            <w:gridSpan w:val="2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2"/>
                <w:sz w:val="21"/>
                <w:szCs w:val="21"/>
                <w:highlight w:val="none"/>
              </w:rPr>
              <w:t>双语授课</w:t>
            </w:r>
          </w:p>
        </w:tc>
        <w:tc>
          <w:tcPr>
            <w:tcW w:w="733" w:type="pct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  <w:lang w:bidi="ar"/>
              </w:rPr>
              <w:t xml:space="preserve">是 </w:t>
            </w:r>
            <w:r>
              <w:rPr>
                <w:rFonts w:hint="eastAsia" w:hAnsi="宋体"/>
                <w:color w:val="000000"/>
                <w:kern w:val="2"/>
                <w:sz w:val="21"/>
                <w:szCs w:val="21"/>
                <w:lang w:bidi="ar"/>
              </w:rPr>
              <w:t>☑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课程代码</w:t>
            </w:r>
          </w:p>
        </w:tc>
        <w:tc>
          <w:tcPr>
            <w:tcW w:w="1020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21114021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课程学分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cs="Times New Roman"/>
                <w:b/>
                <w:color w:val="auto"/>
                <w:kern w:val="2"/>
                <w:sz w:val="21"/>
                <w:szCs w:val="21"/>
                <w:highlight w:val="none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课程类别</w:t>
            </w:r>
          </w:p>
        </w:tc>
        <w:tc>
          <w:tcPr>
            <w:tcW w:w="1020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专业基础课程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专业核心课程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专业选修课程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课程性质</w:t>
            </w: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□选修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□线上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□线上线下混合式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□社会实践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□闭卷  □开卷  □课程论文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课程作品  □汇报展示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"/>
              </w:rPr>
              <w:t>报告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   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课堂表现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阶段性测试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平时作业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bidi="ar"/>
              </w:rPr>
              <w:t>其他</w:t>
            </w:r>
            <w:r>
              <w:rPr>
                <w:rFonts w:hint="eastAsia" w:hAnsi="宋体"/>
                <w:sz w:val="21"/>
                <w:szCs w:val="21"/>
                <w:highlight w:val="none"/>
                <w:lang w:bidi="ar"/>
              </w:rPr>
              <w:t>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材料科学与工程学院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2"/>
                <w:sz w:val="21"/>
                <w:szCs w:val="21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1"/>
                <w:szCs w:val="21"/>
                <w:highlight w:val="none"/>
                <w:lang w:eastAsia="zh-CN" w:bidi="ar"/>
              </w:rPr>
              <w:t>开课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1"/>
                <w:szCs w:val="21"/>
                <w:highlight w:val="none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材料加工系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材料成型级控制工程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6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向超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戴甲洪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机械制图及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CAD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、逆向工程及快速成型技术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毕业实习、毕业设计（论文）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 詹建新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魏向京. SolidWorks 2021产品设计标准教程（第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版）[M]. 北京: 清华大学出版社, 202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 张红霞. SolidWorks 2021机械与钣金设计完全实战技术手册（第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版）[M]. 北京: 清华大学出版社, 202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中国大学MOOC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7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《建模方法与增材制造实验》是一门材控专业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必修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的综合实践课程，主要介绍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SolidWorks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草图绘制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、编辑命令、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特征建模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曲面建模、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装配体设计、工程图设计、钣金设计入门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3D打印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。通过该课程的教学，使学生获得从事模具设计相关职业必需的CA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软件操作能力，具有较强的就业能力、可持续发展的能力、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分析和解决问题的能力、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创新能力、实践能力，具有深厚的爱国情怀和中华民族自豪感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；为将来的工作和科研打下较坚实的理论与实践基础。</w:t>
            </w:r>
          </w:p>
        </w:tc>
      </w:tr>
    </w:tbl>
    <w:p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二、课程目标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1"/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90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90" w:type="pct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可以利用SolidWorks软件提供的案例进行实践操作，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零件草图绘制、特征建模、曲线及曲面建模、装配体设计、工程图设计、钣金设计及焊接件设计，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也能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结合实际工程项目进行综合应用，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设计航空航天、汽车、机械、造船、医疗器械及电子工业等领域的相关零部件产品；能操作3D打印机，将数字模型转化为实体模型实现快速制造。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90" w:type="pct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具有的坚持不懈的学习精神，形成严谨细致、实事求是的科学态度，具有分析和解决问题的能力、创新能力、实践能力和创业精神，具有较强的就业能力和可持续发展的能力。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4190" w:type="pct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具备爱岗敬业精神、精益求精的工匠精神，拥有积极向上的人生观和价值观，具有深厚的爱国情怀和中华民族自豪感。</w:t>
            </w: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2"/>
        <w:spacing w:line="320" w:lineRule="exact"/>
        <w:ind w:left="420" w:firstLine="0"/>
        <w:jc w:val="center"/>
        <w:rPr>
          <w:rFonts w:hint="default" w:ascii="Times New Roman" w:hAnsi="Times New Roman" w:eastAsia="宋体" w:cs="Times New Roman"/>
          <w:b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>表2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 xml:space="preserve"> 课程目标与毕业要求对应关系</w:t>
      </w:r>
    </w:p>
    <w:tbl>
      <w:tblPr>
        <w:tblStyle w:val="10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4"/>
        <w:gridCol w:w="3845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指标点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22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设计/开发解决方案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3.1掌握材料成型、模具设计和产品开发全周期、全流程的设计/开发方法和技术，了解影响设计目标和技术方案的各种因素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课程目标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使用现代工具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5.3能够针对材料成型工艺、模具设计与制造过程中具体的工程问题对象，通过组合、选配、改进、二次开发等方式创造性地使用现代工具进行模拟和预测，满足特定需求，并能够分析其局限性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课程目标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毕业要求8：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职业规范【L】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8.1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有正确价值观，理解个人与社会的关系，了解中国国情。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</w:tbl>
    <w:p>
      <w:pPr>
        <w:pStyle w:val="22"/>
        <w:spacing w:line="320" w:lineRule="exact"/>
        <w:ind w:left="0" w:leftChars="0" w:firstLine="0" w:firstLineChars="0"/>
        <w:jc w:val="center"/>
        <w:rPr>
          <w:rFonts w:hint="default" w:ascii="Times New Roman" w:hAnsi="Times New Roman" w:eastAsia="宋体" w:cs="Times New Roman"/>
          <w:b/>
          <w:sz w:val="21"/>
          <w:szCs w:val="21"/>
          <w:highlight w:val="none"/>
          <w:lang w:eastAsia="zh-CN"/>
        </w:rPr>
      </w:pPr>
    </w:p>
    <w:p>
      <w:pPr>
        <w:autoSpaceDE w:val="0"/>
        <w:autoSpaceDN w:val="0"/>
        <w:adjustRightInd w:val="0"/>
        <w:spacing w:beforeLines="0" w:afterLines="0" w:line="400" w:lineRule="exact"/>
        <w:jc w:val="left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>
      <w:pPr>
        <w:pStyle w:val="4"/>
        <w:kinsoku w:val="0"/>
        <w:overflowPunct w:val="0"/>
        <w:spacing w:before="61" w:beforeLines="0" w:afterLines="0"/>
        <w:jc w:val="left"/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课程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教学内容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与方法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表3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课程目标、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教学内容和方法对应关系</w:t>
      </w:r>
    </w:p>
    <w:tbl>
      <w:tblPr>
        <w:tblStyle w:val="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094"/>
        <w:gridCol w:w="1558"/>
        <w:gridCol w:w="5325"/>
        <w:gridCol w:w="690"/>
        <w:gridCol w:w="848"/>
        <w:gridCol w:w="690"/>
        <w:gridCol w:w="848"/>
        <w:gridCol w:w="848"/>
        <w:gridCol w:w="7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9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5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532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每组人数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76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实验1：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焊接法兰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snapToGrid w:val="0"/>
              <w:spacing w:beforeLines="0" w:afterLines="0"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1.视图的调整方法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选择、隐藏与删除对象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3.参考几何体命令的操作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4.完成焊接法兰模型设计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实验2：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绘制槽轮草图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snapToGrid w:val="0"/>
              <w:spacing w:beforeLines="0" w:afterLines="0"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1.草图元素的绘制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2.草图的编辑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3.3D草图的操作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4.草图约束的操作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槽轮草图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设计沐浴露瓶瓶身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1.拉伸特征命令的操作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2.旋转特征命令的操作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3.扫描特征的操作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4.放样特征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5.完成沐浴露瓶瓶身设计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设计机座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1.圆角、倒角特征命令的操作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2.抽壳特征、孔特征命令的操作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3.筋特、拔模、镜像、列阵特征的操作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4.圆顶特征、包覆特征的操作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5.完成机座设计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设计润滑油壶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1.创建曲线的操作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2.创建曲面的操作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3.编辑曲面的操作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润滑油壶设计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装配千斤顶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1.装配体的建立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2.定位零部件的操作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3.零件的复制、列阵与镜像的操作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4.爆炸视图的操作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5.完成千斤顶装配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创建法兰盘工程图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1.创建视图的操作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2.编辑视图的操作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3.工程图的标注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法兰盘工程图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设计电源盒盖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1.钣金法兰的操作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2.折弯钣金体的操作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3.钣金成型的操作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4.钣金特征分析的操作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5.将实体零件转换成钣金体的操作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6.完成电源盒盖设计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设计移动爬梯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1.结构构件设计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2.角撑板、顶端盖的操作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3.圆角焊缝的操作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移动爬梯设计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小车装配模型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3D打印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小车模型设计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3D打印机的操作步骤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3D打印实验报告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default" w:ascii="Times New Roman" w:hAnsi="Times New Roman" w:cs="Times New Roman"/>
          <w:highlight w:val="none"/>
        </w:rPr>
      </w:pPr>
    </w:p>
    <w:p>
      <w:pPr>
        <w:widowControl/>
        <w:spacing w:line="360" w:lineRule="auto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>
      <w:pPr>
        <w:rPr>
          <w:rFonts w:hint="default" w:ascii="Times New Roman" w:hAnsi="Times New Roman" w:cs="Times New Roman"/>
          <w:highlight w:val="none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  <w:t>课程考核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68" w:beforeLines="0" w:afterLines="0" w:line="420" w:lineRule="exact"/>
        <w:ind w:right="737" w:firstLine="482" w:firstLineChars="200"/>
        <w:rPr>
          <w:rFonts w:hint="eastAsia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（一）考核内容与考核方式</w:t>
      </w:r>
    </w:p>
    <w:p>
      <w:pPr>
        <w:pStyle w:val="4"/>
        <w:kinsoku w:val="0"/>
        <w:overflowPunct w:val="0"/>
        <w:spacing w:before="66" w:beforeLines="0" w:afterLines="0"/>
        <w:jc w:val="center"/>
        <w:rPr>
          <w:rFonts w:hint="default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</w:pPr>
      <w:r>
        <w:rPr>
          <w:rFonts w:hint="eastAsia" w:ascii="Times New Roman" w:cs="Times New Roman"/>
          <w:b/>
          <w:sz w:val="21"/>
          <w:szCs w:val="21"/>
          <w:highlight w:val="none"/>
        </w:rPr>
        <w:t>表4</w:t>
      </w:r>
      <w:r>
        <w:rPr>
          <w:rFonts w:hint="eastAsia" w:ascii="Times New Roman" w:cs="Times New Roman"/>
          <w:b/>
          <w:sz w:val="21"/>
          <w:szCs w:val="21"/>
          <w:highlight w:val="none"/>
          <w:lang w:val="en-US" w:eastAsia="zh-CN"/>
        </w:rPr>
        <w:t xml:space="preserve">-1 </w:t>
      </w:r>
      <w:r>
        <w:rPr>
          <w:rFonts w:hint="eastAsia" w:ascii="Times New Roman" w:cs="Times New Roman"/>
          <w:b/>
          <w:sz w:val="21"/>
          <w:szCs w:val="21"/>
          <w:highlight w:val="none"/>
        </w:rPr>
        <w:t>课程目标、考核内容与考核方式对应关系</w:t>
      </w:r>
    </w:p>
    <w:tbl>
      <w:tblPr>
        <w:tblStyle w:val="10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4002"/>
        <w:gridCol w:w="1845"/>
        <w:gridCol w:w="964"/>
        <w:gridCol w:w="14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课程目标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考核内容</w:t>
            </w:r>
          </w:p>
        </w:tc>
        <w:tc>
          <w:tcPr>
            <w:tcW w:w="100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ind w:left="129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所属</w:t>
            </w:r>
          </w:p>
          <w:p>
            <w:pPr>
              <w:pStyle w:val="25"/>
              <w:kinsoku w:val="0"/>
              <w:overflowPunct w:val="0"/>
              <w:spacing w:before="30" w:beforeLines="0" w:afterLines="0" w:line="277" w:lineRule="exact"/>
              <w:ind w:left="129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学习项目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71" w:beforeLines="0" w:afterLines="0"/>
              <w:ind w:left="185" w:right="177"/>
              <w:jc w:val="both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考核占比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ind w:left="201"/>
              <w:jc w:val="both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1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1.视图的调整方法</w:t>
            </w: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实验1：焊接法兰</w:t>
            </w:r>
          </w:p>
        </w:tc>
        <w:tc>
          <w:tcPr>
            <w:tcW w:w="481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3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55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上机操作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、阶段性测验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选择、隐藏与删除对象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3.参考几何体命令的操作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4.完成焊接法兰模型设计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1.草图元素的绘制</w:t>
            </w: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实验2：绘制槽轮草图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2.草图的编辑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3.3D草图的操作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4.草图约束的操作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槽轮草图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1.拉伸特征命令的操作</w:t>
            </w: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实验3：设计沐浴露瓶瓶身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2.旋转特征命令的操作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3.扫描特征的操作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4.放样特征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1.圆角、倒角特征命令的操作</w:t>
            </w: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实验4：设计机座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2.抽壳特征、孔特征命令的操作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3.筋特、拔模、镜像、列阵特征的操作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4.圆顶特征、包覆特征的操作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5.完成机座设计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1.创建曲线的操作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实验5：设计润滑油壶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2.创建曲面的操作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3.编辑曲面的操作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润滑油壶设计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1.装配体的建立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实验6：装配千斤顶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2.定位零部件的操作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3.零件的复制、列阵与镜像的操作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4.爆炸视图的操作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5.完成千斤顶装配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1.创建视图的操作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实验7：创建法兰盘工程图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2.编辑视图的操作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3.工程图的标注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法兰盘工程图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1.钣金法兰的操作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实验8：设计电源盒盖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2.折弯钣金体的操作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3.钣金成型的操作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4.钣金特征分析的操作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5.将实体零件转换成钣金体的操作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6.完成电源盒盖设计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1.结构构件设计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实验9：设计移动爬梯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2.角撑板、顶端盖的操作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3.圆角焊缝的操作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移动爬梯设计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小车模型设计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实验10：小车装配模型3D打印</w:t>
            </w:r>
          </w:p>
        </w:tc>
        <w:tc>
          <w:tcPr>
            <w:tcW w:w="481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3D打印机的操作步骤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3D打印实验报告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="12" w:beforeLines="0" w:afterLines="0"/>
              <w:jc w:val="left"/>
              <w:rPr>
                <w:rFonts w:hint="default" w:ascii="方正小标宋_GBK" w:eastAsia="方正小标宋_GBK" w:cs="方正小标宋_GBK"/>
                <w:kern w:val="0"/>
                <w:sz w:val="19"/>
                <w:szCs w:val="19"/>
                <w:highlight w:val="none"/>
              </w:rPr>
            </w:pPr>
          </w:p>
          <w:p>
            <w:pPr>
              <w:pStyle w:val="25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2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/>
              <w:jc w:val="both"/>
              <w:textAlignment w:val="auto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自主学习能力水平</w:t>
            </w:r>
          </w:p>
        </w:tc>
        <w:tc>
          <w:tcPr>
            <w:tcW w:w="100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实验1-9</w:t>
            </w:r>
          </w:p>
        </w:tc>
        <w:tc>
          <w:tcPr>
            <w:tcW w:w="4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</w:p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2.实验素质考核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/>
              <w:jc w:val="both"/>
              <w:textAlignment w:val="auto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color w:val="000000"/>
                <w:sz w:val="21"/>
                <w:szCs w:val="21"/>
              </w:rPr>
              <w:t>2.</w:t>
            </w:r>
            <w:r>
              <w:rPr>
                <w:rFonts w:hint="eastAsia"/>
                <w:color w:val="000000"/>
                <w:sz w:val="21"/>
                <w:szCs w:val="21"/>
              </w:rPr>
              <w:t>反思、改进实验操作的能力水平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="22" w:beforeLines="0" w:afterLines="0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color w:val="000000"/>
                <w:sz w:val="21"/>
                <w:szCs w:val="21"/>
              </w:rPr>
              <w:t>3.</w:t>
            </w:r>
            <w:r>
              <w:rPr>
                <w:rFonts w:hint="eastAsia"/>
                <w:color w:val="000000"/>
                <w:sz w:val="21"/>
                <w:szCs w:val="21"/>
              </w:rPr>
              <w:t>创新意识与创新能力水平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left"/>
              <w:rPr>
                <w:rFonts w:hint="default" w:ascii="方正小标宋_GBK" w:eastAsia="方正小标宋_GBK" w:cs="方正小标宋_GBK"/>
                <w:kern w:val="0"/>
                <w:sz w:val="19"/>
                <w:szCs w:val="19"/>
                <w:highlight w:val="none"/>
              </w:rPr>
            </w:pPr>
          </w:p>
          <w:p>
            <w:pPr>
              <w:pStyle w:val="25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3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="22" w:line="400" w:lineRule="exact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-SA"/>
              </w:rPr>
              <w:t>1.是否具有安全与环保意识、社会责任感</w:t>
            </w: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实验1-9</w:t>
            </w: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5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</w:p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2.实验素质考核</w:t>
            </w:r>
          </w:p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.素质考核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="25" w:line="400" w:lineRule="exact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-SA"/>
              </w:rPr>
              <w:t>2.是否具有爱国主义情怀</w:t>
            </w:r>
          </w:p>
        </w:tc>
        <w:tc>
          <w:tcPr>
            <w:tcW w:w="10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="25" w:line="400" w:lineRule="exact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-SA"/>
              </w:rPr>
              <w:t>3.是否具有辨证唯物主义的人生观、世界观和价值观</w:t>
            </w:r>
          </w:p>
        </w:tc>
        <w:tc>
          <w:tcPr>
            <w:tcW w:w="10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pacing w:before="8" w:beforeLines="0" w:afterLines="0"/>
        <w:ind w:firstLine="241" w:firstLineChars="100"/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</w:pPr>
    </w:p>
    <w:p>
      <w:pPr>
        <w:pStyle w:val="4"/>
        <w:kinsoku w:val="0"/>
        <w:overflowPunct w:val="0"/>
        <w:spacing w:before="66" w:beforeLines="0" w:afterLines="0"/>
        <w:jc w:val="center"/>
        <w:rPr>
          <w:rFonts w:hint="eastAsia" w:ascii="Times New Roman" w:eastAsia="黑体" w:cs="Times New Roman"/>
          <w:color w:val="000000"/>
          <w:sz w:val="24"/>
          <w:szCs w:val="24"/>
        </w:rPr>
      </w:pPr>
      <w:r>
        <w:rPr>
          <w:rFonts w:hint="eastAsia" w:ascii="Times New Roman" w:cs="Times New Roman"/>
          <w:b/>
          <w:color w:val="000000"/>
          <w:sz w:val="21"/>
          <w:szCs w:val="21"/>
        </w:rPr>
        <w:t>表4-2 课程目标与考核方式矩阵关系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600"/>
        <w:gridCol w:w="1577"/>
        <w:gridCol w:w="1438"/>
        <w:gridCol w:w="1495"/>
        <w:gridCol w:w="1194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</w:t>
            </w:r>
          </w:p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考核方式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考核占比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期末上机操作3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实验项目成绩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阶段性测验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实验素质考核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素质考核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60.8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30.8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8.4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pacing w:before="8" w:beforeLines="0" w:afterLines="0"/>
        <w:ind w:firstLine="241" w:firstLineChars="100"/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（二）成绩评定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 New Roman" w:eastAsia="宋体" w:cs="Times"/>
          <w:b/>
          <w:kern w:val="0"/>
          <w:sz w:val="24"/>
          <w:szCs w:val="24"/>
          <w:highlight w:val="none"/>
        </w:rPr>
      </w:pPr>
      <w:r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  <w:t>1</w:t>
      </w:r>
      <w:r>
        <w:rPr>
          <w:rFonts w:hint="default" w:ascii="Times" w:hAnsi="Times New Roman" w:eastAsia="宋体" w:cs="Times"/>
          <w:b/>
          <w:kern w:val="0"/>
          <w:sz w:val="24"/>
          <w:szCs w:val="24"/>
          <w:highlight w:val="none"/>
        </w:rPr>
        <w:t>.</w:t>
      </w:r>
      <w:r>
        <w:rPr>
          <w:rFonts w:hint="eastAsia" w:ascii="Times" w:hAnsi="Times" w:eastAsia="宋体" w:cs="Times"/>
          <w:b/>
          <w:kern w:val="0"/>
          <w:sz w:val="24"/>
          <w:szCs w:val="24"/>
          <w:highlight w:val="none"/>
        </w:rPr>
        <w:t>平时成绩评定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实验项目成绩（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：各实验项目平时成绩总和/项目数。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实验操作（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通过学生在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虚拟仿真实验室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的教学任务完成情况、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操作情况、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提问情况，来评价学生相关的能力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2）实验结果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或报告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围绕课程的学习目标进行作业的设计，让学生独立完成设计任务，考核学生对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绘图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软件的操作能力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阶段性测验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平时测试、测验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考试巩固自己所学的知识，使学生在后续的学习中更加高效和有针对性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（3）实验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：按实验要求和步骤操作熟练度、正确使用实验设备规范性、各类作业管理策略安排和参数设定的合理性。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（4）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考查学生是否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热爱科学，有刻苦钻研的科学精神，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具有正确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世界观、价值观正确，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强烈的社会责任感和家国情怀。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平时成绩（100%）=实验项目成绩（60%）+阶段性测验（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+实验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0%）+素质考核（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期末成绩评定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考核主要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考查学生的软件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Solidworks）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操作能力，方式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产品设计上机操作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具备草图绘制、基础特征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建模、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附加特征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建模、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曲面与曲线设计、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装配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体设计、工程图设计、钣金设计、焊接设计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能力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会用3D打印机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 New Roman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期末成绩（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期末上机操作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总成绩评定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color w:val="000000"/>
          <w:sz w:val="24"/>
          <w:szCs w:val="24"/>
        </w:rPr>
        <w:t>总成绩应由平时考核成绩和期末考核成绩构成，其构成比例应科学合理。书写格式：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总成绩（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平时成绩（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期末成绩（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Lines="0" w:line="360" w:lineRule="auto"/>
        <w:ind w:left="210" w:leftChars="100" w:firstLine="96" w:firstLineChars="40"/>
        <w:jc w:val="left"/>
        <w:textAlignment w:val="auto"/>
        <w:rPr>
          <w:rFonts w:hint="default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（三）</w:t>
      </w:r>
      <w:r>
        <w:rPr>
          <w:rFonts w:hint="default" w:ascii="Times New Roman" w:hAnsi="Times New Roman" w:eastAsia="黑体" w:cs="Times New Roman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评分标准</w:t>
      </w:r>
    </w:p>
    <w:p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针对课程考核方式中的所有项目，均需制定相应的评分标准，明确具体评分细则。其中试卷考核项目以试卷参考答案及评分细则为准</w:t>
      </w: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非试卷考核项目可参照以下示例制定。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表5评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Times New Roman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（非试卷考核项目）</w:t>
      </w:r>
    </w:p>
    <w:tbl>
      <w:tblPr>
        <w:tblStyle w:val="10"/>
        <w:tblW w:w="8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59"/>
        <w:gridCol w:w="1559"/>
        <w:gridCol w:w="1560"/>
        <w:gridCol w:w="1559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考核项目</w:t>
            </w:r>
          </w:p>
        </w:tc>
        <w:tc>
          <w:tcPr>
            <w:tcW w:w="778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优秀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(100&gt;x≥90)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良好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(90&gt; x≥80)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中等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(80&gt; x≥70)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及格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(70&gt; x≥60)</w:t>
            </w:r>
          </w:p>
        </w:tc>
        <w:tc>
          <w:tcPr>
            <w:tcW w:w="154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不及格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(x &lt;60)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实验项目成绩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）操作正确、规范，动作娴熟有美感，未损坏任何仪器（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）数据、产品外观等记录正确、规范；产品纯度高，产量高，外观（晶形等）符合要求（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）实验报告书写规范，内容全面；实验注意事项、成功关键总结全面、正确；实验装置画得规范；实验步骤、现象简明扼要；实验结果、数据处理正确，且结果分析深刻；提出创新性建议；习题正确率达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90%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以上（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）操作正确、规范，但动作不够娴熟，未损坏仪器（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）数据、产品外观等记录基本正确、规范；产品纯度不够高，或产量不够高，或外观（晶形等）不符合要求（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）实验报告书写规范，内容全面；但实验注意事项或成功关键总结不够全面、正确，缺少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1-2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条；实验装置画得较规范；实验步骤、现象正确；实验结果、数据处理正确，但结果分析不够深刻；未提出创新性建议；习题正确率达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60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）操作不够正确、规范，未损坏任何仪器（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）数据、产品外观等记录不够正确、规范；或产品纯度低，且产量低，外观（晶形等）不符合要求（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）实验报告书写较规范，内容较全面；但实验注意事项或成功关键总结不够全面、正确，缺少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3-4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条；实验装置画得较规范；实验步骤、现象正确；实验结果、数据处理基本正确，但结果分析不够深刻；未提出创新性建议；习题正确率达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）操作不正确、规范，动作较生硬，未损坏任何仪器（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）数据、产品外观等记录不正确、规范；产品纯度低，且产量低，外观（晶形等）不符合要求（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）实验报告书写不够规范，内容不够全面；实验注意事项、成功关键总结不全面、正确，缺少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5-6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条；实验装置画得不够规范；实验步骤、现象基本正确；实验结果、数据处理不正确，且结果分析较马虎；未提出创新性建议；习题正确率达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44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）操作不正确、规范，动作生硬，且损坏仪器（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）数据、产品外观等记录不正确、规范；产品纯度低，且产量低，外观（晶形等）不符合要求或实验失败（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）实验报告书写不规范，内容不全面；实验注意事项未写，或成功关键未写，或缺少</w:t>
            </w:r>
            <w:r>
              <w:rPr>
                <w:rFonts w:ascii="Times New Roman"/>
                <w:bCs/>
                <w:color w:val="000000"/>
                <w:szCs w:val="21"/>
              </w:rPr>
              <w:t>7-8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条；实验装置画得不规范；实验步骤、现象不正确；实验结果、数据处理不正确，且未分析结果；未提出创新性建议；习题正确率低于</w:t>
            </w:r>
            <w:r>
              <w:rPr>
                <w:rFonts w:ascii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实验素质考核</w:t>
            </w:r>
          </w:p>
        </w:tc>
        <w:tc>
          <w:tcPr>
            <w:tcW w:w="1559" w:type="dxa"/>
            <w:vAlign w:val="top"/>
          </w:tcPr>
          <w:p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端正，能按时完成课前预习任务的90-100%；遵守纪律，无迟到、早退、缺勤情况；实验兴趣浓厚，上课讨论发言积极；有严谨认真、事实求是、刻苦钻研的工作作风与科学精神（30%）。（2）勤于思考，经常问问题，上课积极回答问题，能反思、改进实验操作（10%）。（3）珍惜仪器设备、厉行节约，有强烈的社会责任感；有良好的实验习惯，实验台面整洁，有强烈的环保和安全意识，从不乱倒乱扔（20%）。（4）和搭档配合默契，能积极完成合作学习任务，有团队合成精神（20%）。（5）能积极参与实验劳动，态度端正，有热爱劳动、崇尚劳动、尊重劳动的精神（20%）。</w:t>
            </w:r>
          </w:p>
        </w:tc>
        <w:tc>
          <w:tcPr>
            <w:tcW w:w="1559" w:type="dxa"/>
            <w:vAlign w:val="top"/>
          </w:tcPr>
          <w:p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较端正，能完成课前预习任务的80-89%；遵守纪律，无迟到、早退、缺勤情况；实验兴趣较浓厚，上课讨论有发言；实验较认真，有事实求是的工作作风，但尚缺少刻苦钻研的科学精神（30%）。（2）勤于思考，经常问问题，上课有回答问题，能反思、改进实验操作（10%）。（3）珍惜仪器设备、能节约，有一定的社会责任感；有良好的实验习惯，实验台面较整洁，有环保和安全意识，基本不乱倒乱扔（20%）。（4）和搭档配合还算默契，能完成合作学习任务，有一定团队合成精神（20%）。（5）能参与实验劳动，态度较端正，较热爱劳动，有崇尚劳动、尊重劳动的精神（20%）。</w:t>
            </w:r>
          </w:p>
        </w:tc>
        <w:tc>
          <w:tcPr>
            <w:tcW w:w="1560" w:type="dxa"/>
            <w:vAlign w:val="top"/>
          </w:tcPr>
          <w:p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基本端正，能完成课前预习任务的70-79%；遵守纪律，无迟到、早退、缺勤情况；实验兴趣较浓厚，上课讨论无发言；实验较认真，有事实求是的工作作风，但尚缺少刻苦钻研的科学精神（40%）。（2）很少问问题，上课很少回答问题，能反思、改进实验操作，但反思不够深刻（10%）。（3）较爱惜仪器设备、基本能节约，有一定的社会责任感；但实验习惯不够好，实验台面不够整洁，有环保和安全意识，基本不乱倒乱扔（20%）。（4）和搭档配合不够默契，或不能很好完成合作学习任务，团队合成精神不足（20%）。（5）能参与实验劳动，态度一般，不是很热爱劳动，崇尚劳动、尊重劳动的精神不足（20%）。</w:t>
            </w:r>
          </w:p>
        </w:tc>
        <w:tc>
          <w:tcPr>
            <w:tcW w:w="1559" w:type="dxa"/>
            <w:vAlign w:val="top"/>
          </w:tcPr>
          <w:p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不够端正，能完成课前预习任务的60-69%；不遵守纪律，有迟到、早退，无缺勤情况；实验兴趣不够浓厚，上课讨论无发言；实验不够认真，无事实求是、刻苦钻研的科学精神（30%）。（2）从未问问题，上课很少回答问题，基本不能反思、改进实验操作（10%）。（3）不够爱惜仪器设备，或不节约药品，社会责任感不强；实验习惯不好，实验台面零乱，环保和安全意识较薄弱，有乱倒乱扔现象（20%）。（4）和搭档配合不默契、有偷懒现象，或不能完成合作学习任务，无团队合成精神（20%）。（5）能参与实验劳动，态度不够端正，没有热爱劳动、崇尚劳动、尊重劳动的精神（20%）。</w:t>
            </w:r>
          </w:p>
        </w:tc>
        <w:tc>
          <w:tcPr>
            <w:tcW w:w="1544" w:type="dxa"/>
            <w:vAlign w:val="top"/>
          </w:tcPr>
          <w:p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不端正，完成课前预习任务不足60%；不遵守纪律，有迟到、早退和缺勤情况；实验兴趣不浓厚，上课讨论无发言；实验不认真，无事实求是、刻苦钻研的科学精神（30%）。（2）从未问问题，从未回答问题，不能反思、改进实验操作（10%）。（3）不爱惜仪器设备，不节约药品，没有社会责任感；实验习惯不好，实验台面零乱，环保和安全意识较薄弱，总是乱倒乱扔（20%）。（4）和搭档配合不默契、经常偷懒，且不能完成合作学习任务，无团队合成精神（20%）。（5）有时不愿意参与实验劳动，态度不端正，没有热爱劳动、崇尚劳动、尊重劳动的精神（20%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素质考核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）实验态度端正，能按时完成课前预习任务的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90-100%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；遵守纪律，无迟到、早退、缺勤情况；实验兴趣浓厚，上课讨论发言积极；有严谨认真、事实求是、刻苦钻研的工作作风与科学精神（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）勤于思考，经常问问题，上课积极回答问题，能反思、改进实验操作（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）珍惜仪器设备、厉行节约，有强烈的社会责任感；有良好的实验习惯，实验台面整洁，有强烈的环保和安全意识，从不乱倒乱扔（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）和搭档配合默契，能积极完成合作学习任务，有团队合成精神（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）能积极参与实验劳动，态度端正，有热爱劳动、崇尚劳动、尊重劳动的精神（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）实验态度较端正，能完成课前预习任务的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；遵守纪律，无迟到、早退、缺勤情况；实验兴趣较浓厚，上课讨论有发言；实验较认真，有事实求是的工作作风，但尚缺少刻苦钻研的科学精神（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）勤于思考，经常问问题，上课有回答问题，能反思、改进实验操作（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）珍惜仪器设备、能节约，有一定的社会责任感；有良好的实验习惯，实验台面较整洁，有环保和安全意识，基本不乱倒乱扔（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）和搭档配合还算默契，能完成合作学习任务，有一定团队合成精神（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）能参与实验劳动，态度较端正，较热爱劳动，有崇尚劳动、尊重劳动的精神（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60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）实验态度基本端正，能完成课前预习任务的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；遵守纪律，无迟到、早退、缺勤情况；实验兴趣较浓厚，上课讨论无发言；实验较认真，有事实求是的工作作风，但尚缺少刻苦钻研的科学精神（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）很少问问题，上课很少回答问题，能反思、改进实验操作，但反思不够深刻（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）较爱惜仪器设备、基本能节约，有一定的社会责任感；但实验习惯不够好，实验台面不够整洁，有环保和安全意识，基本不乱倒乱扔（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）和搭档配合不够默契，或不能很好完成合作学习任务，团队合成精神不足（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）能参与实验劳动，态度一般，不是很热爱劳动，崇尚劳动、尊重劳动的精神不足（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）实验态度不够端正，能完成课前预习任务的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；不遵守纪律，有迟到、早退，无缺勤情况；实验兴趣不够浓厚，上课讨论无发言；实验不够认真，无事实求是、刻苦钻研的科学精神（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）从未问问题，上课很少回答问题，基本不能反思、改进实验操作（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）不够爱惜仪器设备，或不节约药品，社会责任感不强；实验习惯不好，实验台面零乱，环保和安全意识较薄弱，有乱倒乱扔现象（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）和搭档配合不默契、有偷懒现象，或不能完成合作学习任务，无团队合成精神（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）能参与实验劳动，态度不够端正，没有热爱劳动、崇尚劳动、尊重劳动的精神（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44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）实验态度不端正，完成课前预习任务不足</w:t>
            </w:r>
            <w:r>
              <w:rPr>
                <w:rFonts w:ascii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；不遵守纪律，有迟到、早退和缺勤情况；实验兴趣不浓厚，上课讨论无发言；实验不认真，无事实求是、刻苦钻研的科学精神（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）从未问问题，从未回答问题，不能反思、改进实验操作（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）不爱惜仪器设备，不节约药品，没有社会责任感；实验习惯不好，实验台面零乱，环保和安全意识较薄弱，总是乱倒乱扔（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）和搭档配合不默契、经常偷懒，且不能完成合作学习任务，无团队合成精神（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）有时不愿意参与实验劳动，态度不端正，没有热爱劳动、崇尚劳动、尊重劳动的精神（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报告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hint="eastAsia" w:ascii="Times New Roman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获得充分可靠的验数据；能参考文献对实验数据进行深度分析，能说明实验结果的局限性；报告条理清楚，行文流畅，表述准确，撰写规范。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hint="eastAsia" w:ascii="Times New Roman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获得比较可靠的数据；能参考文献对实验数据进行一定深度的分析；报告条理清楚，表述准确，符合规范。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hint="eastAsia" w:ascii="Times New Roman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获得实验数据；能参考文献对实验数据进行比较有效地分析；报告条理基本清楚，比较符合规范。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hint="eastAsia" w:ascii="Times New Roman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获得实验数据。参考少量文献对数据进行简单分析；报告条理基本清楚，基本符合规范。</w:t>
            </w:r>
          </w:p>
        </w:tc>
        <w:tc>
          <w:tcPr>
            <w:tcW w:w="1544" w:type="dxa"/>
            <w:vAlign w:val="center"/>
          </w:tcPr>
          <w:p>
            <w:pPr>
              <w:rPr>
                <w:rFonts w:hint="eastAsia" w:ascii="Times New Roman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没有获得有效数据；或报告思路混乱，表达不清。</w:t>
            </w:r>
          </w:p>
        </w:tc>
      </w:tr>
    </w:tbl>
    <w:p>
      <w:pPr>
        <w:spacing w:line="360" w:lineRule="auto"/>
        <w:ind w:firstLine="48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eastAsia="zh-CN"/>
        </w:r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其他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说明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本课程大纲依据2023版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材料成型及控制工程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专业人才培养方案，由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材料科学与工程学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院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材料加工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教学系讨论制定，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料科学与工程学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院教学工作委员会审定，教务处审核批准，自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val="en-US" w:eastAsia="zh-CN"/>
        </w:rPr>
        <w:t>2023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级开始执行。</w: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1239EF7-DEAC-418F-802F-2D9BFECFA32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C42CEE1-69A9-40A7-8D05-BECA014D7783}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1EF016A7-7A08-435E-BBC2-F088824CF229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B75B37D1-2FE9-493A-96EE-A65E4E18CF6B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5" w:fontKey="{B568726E-7C4A-495B-91A6-03F48C3BEE84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1116A3F2-BD03-41B0-9A3F-17471D7EBFD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OGE3N2JmZWQ2YjEyYjVkYzZjNTdmYWJhMzNiODEifQ=="/>
  </w:docVars>
  <w:rsids>
    <w:rsidRoot w:val="008F4441"/>
    <w:rsid w:val="00001AA7"/>
    <w:rsid w:val="00085F49"/>
    <w:rsid w:val="000C5191"/>
    <w:rsid w:val="000D6B29"/>
    <w:rsid w:val="001C72BE"/>
    <w:rsid w:val="001D02A4"/>
    <w:rsid w:val="001D24B0"/>
    <w:rsid w:val="001F0978"/>
    <w:rsid w:val="00241260"/>
    <w:rsid w:val="002D45DB"/>
    <w:rsid w:val="00300172"/>
    <w:rsid w:val="00317DE6"/>
    <w:rsid w:val="003708BC"/>
    <w:rsid w:val="003C51E5"/>
    <w:rsid w:val="00400041"/>
    <w:rsid w:val="004770EC"/>
    <w:rsid w:val="004C400D"/>
    <w:rsid w:val="004F64DB"/>
    <w:rsid w:val="00530E74"/>
    <w:rsid w:val="00542479"/>
    <w:rsid w:val="005424AA"/>
    <w:rsid w:val="00544EAA"/>
    <w:rsid w:val="005538AE"/>
    <w:rsid w:val="006035BD"/>
    <w:rsid w:val="00621A39"/>
    <w:rsid w:val="00755E85"/>
    <w:rsid w:val="007A2E5A"/>
    <w:rsid w:val="008F4441"/>
    <w:rsid w:val="00903BA2"/>
    <w:rsid w:val="00906786"/>
    <w:rsid w:val="00A02E2B"/>
    <w:rsid w:val="00A17432"/>
    <w:rsid w:val="00A23A71"/>
    <w:rsid w:val="00A90958"/>
    <w:rsid w:val="00AD3E5A"/>
    <w:rsid w:val="00AD5FBC"/>
    <w:rsid w:val="00C2471D"/>
    <w:rsid w:val="00C431A3"/>
    <w:rsid w:val="00C67328"/>
    <w:rsid w:val="00CE18CA"/>
    <w:rsid w:val="00D150FB"/>
    <w:rsid w:val="00D30B38"/>
    <w:rsid w:val="00EC4EB7"/>
    <w:rsid w:val="00ED5A20"/>
    <w:rsid w:val="00F03B7C"/>
    <w:rsid w:val="00F47977"/>
    <w:rsid w:val="00F856C2"/>
    <w:rsid w:val="00F93584"/>
    <w:rsid w:val="00FB1211"/>
    <w:rsid w:val="00FE1C84"/>
    <w:rsid w:val="00FF64D3"/>
    <w:rsid w:val="0136557F"/>
    <w:rsid w:val="01C53654"/>
    <w:rsid w:val="03A92702"/>
    <w:rsid w:val="03E017D2"/>
    <w:rsid w:val="03E42333"/>
    <w:rsid w:val="07D478A0"/>
    <w:rsid w:val="07E51AAD"/>
    <w:rsid w:val="09097078"/>
    <w:rsid w:val="098F1CD1"/>
    <w:rsid w:val="09E04A7A"/>
    <w:rsid w:val="0A624F06"/>
    <w:rsid w:val="0A694E8C"/>
    <w:rsid w:val="0B116715"/>
    <w:rsid w:val="0CA77331"/>
    <w:rsid w:val="0DC91529"/>
    <w:rsid w:val="0FD06B9F"/>
    <w:rsid w:val="0FDC2412"/>
    <w:rsid w:val="10771710"/>
    <w:rsid w:val="117B2B3A"/>
    <w:rsid w:val="12570766"/>
    <w:rsid w:val="127952CC"/>
    <w:rsid w:val="13082AF4"/>
    <w:rsid w:val="13BB7B66"/>
    <w:rsid w:val="141B23B3"/>
    <w:rsid w:val="14847F58"/>
    <w:rsid w:val="14D07085"/>
    <w:rsid w:val="16201F02"/>
    <w:rsid w:val="16B9425A"/>
    <w:rsid w:val="16DA0303"/>
    <w:rsid w:val="174B4571"/>
    <w:rsid w:val="18041ADC"/>
    <w:rsid w:val="1849639B"/>
    <w:rsid w:val="18CB084B"/>
    <w:rsid w:val="19BE21E6"/>
    <w:rsid w:val="19F35669"/>
    <w:rsid w:val="1B1D4C62"/>
    <w:rsid w:val="1B6C3D79"/>
    <w:rsid w:val="1C752E13"/>
    <w:rsid w:val="1CBA6C0D"/>
    <w:rsid w:val="1E935238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B701872"/>
    <w:rsid w:val="2C5D5807"/>
    <w:rsid w:val="2C6646BB"/>
    <w:rsid w:val="2CA13D59"/>
    <w:rsid w:val="2D77036F"/>
    <w:rsid w:val="2ED31DB0"/>
    <w:rsid w:val="2F76515D"/>
    <w:rsid w:val="2F9432ED"/>
    <w:rsid w:val="2FE42670"/>
    <w:rsid w:val="308E41E1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3DF586E"/>
    <w:rsid w:val="459E681C"/>
    <w:rsid w:val="45DF1A7B"/>
    <w:rsid w:val="45E36925"/>
    <w:rsid w:val="464B19A0"/>
    <w:rsid w:val="465272DE"/>
    <w:rsid w:val="47BB0D03"/>
    <w:rsid w:val="48075EF5"/>
    <w:rsid w:val="48691A82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534CB1"/>
    <w:rsid w:val="50AE4F53"/>
    <w:rsid w:val="50EF5D11"/>
    <w:rsid w:val="52BC29D7"/>
    <w:rsid w:val="53C64AE5"/>
    <w:rsid w:val="545E2DEB"/>
    <w:rsid w:val="54B82196"/>
    <w:rsid w:val="54E63D3C"/>
    <w:rsid w:val="56151E85"/>
    <w:rsid w:val="56DA16D1"/>
    <w:rsid w:val="5A081A67"/>
    <w:rsid w:val="5BE2723C"/>
    <w:rsid w:val="5C6171FB"/>
    <w:rsid w:val="5E3B0C54"/>
    <w:rsid w:val="5FAD406B"/>
    <w:rsid w:val="6192502F"/>
    <w:rsid w:val="61D22B97"/>
    <w:rsid w:val="63BE65AF"/>
    <w:rsid w:val="63E1404C"/>
    <w:rsid w:val="63E92766"/>
    <w:rsid w:val="652A1A23"/>
    <w:rsid w:val="656071F2"/>
    <w:rsid w:val="67C54DD0"/>
    <w:rsid w:val="68E5013A"/>
    <w:rsid w:val="691D2EB8"/>
    <w:rsid w:val="6AD454F5"/>
    <w:rsid w:val="6C0B610A"/>
    <w:rsid w:val="6D9D5488"/>
    <w:rsid w:val="6F86210E"/>
    <w:rsid w:val="6F9C241D"/>
    <w:rsid w:val="70BC04CC"/>
    <w:rsid w:val="70C61997"/>
    <w:rsid w:val="70D7779B"/>
    <w:rsid w:val="711E68DF"/>
    <w:rsid w:val="724B3147"/>
    <w:rsid w:val="7541433E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DE208F1"/>
    <w:rsid w:val="7F2F7F0A"/>
    <w:rsid w:val="7F424419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unhideWhenUsed/>
    <w:qFormat/>
    <w:uiPriority w:val="1"/>
    <w:pPr>
      <w:spacing w:before="61" w:beforeLines="0" w:afterLines="0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unhideWhenUsed/>
    <w:qFormat/>
    <w:uiPriority w:val="99"/>
    <w:pPr>
      <w:jc w:val="left"/>
    </w:pPr>
  </w:style>
  <w:style w:type="paragraph" w:styleId="4">
    <w:name w:val="Body Text"/>
    <w:basedOn w:val="1"/>
    <w:link w:val="23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1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paragraph" w:customStyle="1" w:styleId="15">
    <w:name w:val="Default"/>
    <w:autoRedefine/>
    <w:unhideWhenUsed/>
    <w:qFormat/>
    <w:uiPriority w:val="0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" w:hAnsi="Calibri" w:eastAsia="仿宋" w:cs="仿宋"/>
      <w:color w:val="000000"/>
      <w:sz w:val="24"/>
      <w:szCs w:val="24"/>
      <w:lang w:val="en-US" w:eastAsia="zh-CN" w:bidi="ar-SA"/>
    </w:rPr>
  </w:style>
  <w:style w:type="character" w:customStyle="1" w:styleId="16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6"/>
    <w:autoRedefine/>
    <w:qFormat/>
    <w:uiPriority w:val="99"/>
    <w:rPr>
      <w:sz w:val="18"/>
      <w:szCs w:val="18"/>
    </w:rPr>
  </w:style>
  <w:style w:type="character" w:customStyle="1" w:styleId="18">
    <w:name w:val="标题 Char"/>
    <w:basedOn w:val="12"/>
    <w:link w:val="8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9">
    <w:name w:val="批注文字 Char"/>
    <w:basedOn w:val="12"/>
    <w:link w:val="3"/>
    <w:autoRedefine/>
    <w:qFormat/>
    <w:uiPriority w:val="99"/>
  </w:style>
  <w:style w:type="character" w:customStyle="1" w:styleId="20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character" w:customStyle="1" w:styleId="21">
    <w:name w:val="批注主题 Char"/>
    <w:basedOn w:val="19"/>
    <w:link w:val="9"/>
    <w:autoRedefine/>
    <w:semiHidden/>
    <w:qFormat/>
    <w:uiPriority w:val="99"/>
    <w:rPr>
      <w:b/>
      <w:bCs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正文文本 Char"/>
    <w:basedOn w:val="12"/>
    <w:link w:val="4"/>
    <w:autoRedefine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4">
    <w:name w:val="在表格内文字"/>
    <w:basedOn w:val="1"/>
    <w:autoRedefine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5">
    <w:name w:val="Table Paragraph"/>
    <w:autoRedefine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7640</Words>
  <Characters>8267</Characters>
  <Lines>20</Lines>
  <Paragraphs>5</Paragraphs>
  <TotalTime>25</TotalTime>
  <ScaleCrop>false</ScaleCrop>
  <LinksUpToDate>false</LinksUpToDate>
  <CharactersWithSpaces>8318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戴甲洪-长江师范学院</cp:lastModifiedBy>
  <cp:lastPrinted>2023-06-29T08:57:00Z</cp:lastPrinted>
  <dcterms:modified xsi:type="dcterms:W3CDTF">2024-06-02T06:43:20Z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0E880B96E3B14C65939131BDBBB0C3E4_13</vt:lpwstr>
  </property>
</Properties>
</file>