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48F65">
      <w:pPr>
        <w:jc w:val="center"/>
        <w:rPr>
          <w:rFonts w:ascii="Times New Roman" w:eastAsia="黑体" w:cs="Times New Roman"/>
          <w:b/>
          <w:sz w:val="32"/>
          <w:szCs w:val="32"/>
        </w:rPr>
      </w:pPr>
      <w:r>
        <w:rPr>
          <w:rFonts w:hint="eastAsia" w:ascii="Times New Roman" w:eastAsia="黑体" w:cs="Times New Roman"/>
          <w:b/>
          <w:sz w:val="32"/>
          <w:szCs w:val="32"/>
        </w:rPr>
        <w:t>《材料物理性能》课程教学大纲</w:t>
      </w:r>
      <w:bookmarkStart w:id="0" w:name="_GoBack"/>
      <w:bookmarkEnd w:id="0"/>
    </w:p>
    <w:p w14:paraId="1BCE038A">
      <w:pPr>
        <w:spacing w:line="360" w:lineRule="auto"/>
        <w:rPr>
          <w:rFonts w:ascii="Times New Roman" w:eastAsia="明黑等宽" w:cs="Times New Roman"/>
          <w:b/>
          <w:sz w:val="28"/>
          <w:szCs w:val="28"/>
        </w:rPr>
      </w:pPr>
    </w:p>
    <w:p w14:paraId="496A838C">
      <w:pPr>
        <w:snapToGrid w:val="0"/>
        <w:spacing w:line="360" w:lineRule="auto"/>
        <w:rPr>
          <w:rFonts w:ascii="Times New Roman" w:eastAsia="明黑等宽" w:cs="Times New Roman"/>
          <w:b/>
          <w:sz w:val="28"/>
          <w:szCs w:val="28"/>
        </w:rPr>
      </w:pPr>
      <w:r>
        <w:rPr>
          <w:rFonts w:hint="eastAsia" w:ascii="Times New Roman" w:eastAsia="黑体" w:cs="Times New Roman"/>
          <w:b/>
          <w:sz w:val="28"/>
          <w:szCs w:val="28"/>
        </w:rPr>
        <w:t>一、课程简介</w:t>
      </w:r>
    </w:p>
    <w:tbl>
      <w:tblPr>
        <w:tblStyle w:val="12"/>
        <w:tblW w:w="4996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1773"/>
        <w:gridCol w:w="1452"/>
        <w:gridCol w:w="1300"/>
        <w:gridCol w:w="717"/>
        <w:gridCol w:w="522"/>
        <w:gridCol w:w="758"/>
        <w:gridCol w:w="1478"/>
      </w:tblGrid>
      <w:tr w14:paraId="0D9534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92" w:type="pct"/>
            <w:tcBorders>
              <w:top w:val="single" w:color="auto" w:sz="12" w:space="0"/>
            </w:tcBorders>
            <w:vAlign w:val="center"/>
          </w:tcPr>
          <w:p w14:paraId="16457777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课程中文名</w:t>
            </w:r>
          </w:p>
        </w:tc>
        <w:tc>
          <w:tcPr>
            <w:tcW w:w="4308" w:type="pct"/>
            <w:gridSpan w:val="7"/>
            <w:tcBorders>
              <w:top w:val="single" w:color="auto" w:sz="12" w:space="0"/>
            </w:tcBorders>
            <w:vAlign w:val="center"/>
          </w:tcPr>
          <w:p w14:paraId="0204CF66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</w:rPr>
              <w:t>材料物理性能</w:t>
            </w:r>
          </w:p>
        </w:tc>
      </w:tr>
      <w:tr w14:paraId="1B7F7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692" w:type="pct"/>
            <w:tcBorders>
              <w:top w:val="single" w:color="auto" w:sz="12" w:space="0"/>
            </w:tcBorders>
            <w:vAlign w:val="center"/>
          </w:tcPr>
          <w:p w14:paraId="30025DEF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课程英文名</w:t>
            </w:r>
          </w:p>
        </w:tc>
        <w:tc>
          <w:tcPr>
            <w:tcW w:w="2823" w:type="pct"/>
            <w:gridSpan w:val="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5DA6CC5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</w:rPr>
              <w:t>Physi</w:t>
            </w:r>
            <w:r>
              <w:rPr>
                <w:rFonts w:ascii="Times New Roman" w:cs="Times New Roman"/>
                <w:b/>
                <w:kern w:val="2"/>
                <w:sz w:val="21"/>
                <w:szCs w:val="21"/>
              </w:rPr>
              <w:t>cal Properties of Materials</w:t>
            </w:r>
          </w:p>
        </w:tc>
        <w:tc>
          <w:tcPr>
            <w:tcW w:w="689" w:type="pct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78B9E55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</w:rPr>
              <w:t>双语授课</w:t>
            </w:r>
          </w:p>
        </w:tc>
        <w:tc>
          <w:tcPr>
            <w:tcW w:w="796" w:type="pct"/>
            <w:tcBorders>
              <w:top w:val="single" w:color="auto" w:sz="12" w:space="0"/>
            </w:tcBorders>
            <w:vAlign w:val="center"/>
          </w:tcPr>
          <w:p w14:paraId="1245D16A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</w:t>
            </w:r>
            <w:r>
              <w:rPr>
                <w:rFonts w:hint="eastAsia" w:ascii="Times New Roman" w:cs="Times New Roman"/>
                <w:kern w:val="2"/>
                <w:sz w:val="21"/>
                <w:szCs w:val="21"/>
                <w:lang w:bidi="ar"/>
              </w:rPr>
              <w:t>是</w:t>
            </w:r>
            <w:r>
              <w:rPr>
                <w:rFonts w:ascii="Times New Roman" w:cs="Times New Roman"/>
                <w:kern w:val="2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sym w:font="Wingdings 2" w:char="F052"/>
            </w:r>
            <w:r>
              <w:rPr>
                <w:rFonts w:hint="eastAsia" w:ascii="Times New Roman" w:cs="Times New Roman"/>
                <w:kern w:val="2"/>
                <w:sz w:val="21"/>
                <w:szCs w:val="21"/>
                <w:lang w:bidi="ar"/>
              </w:rPr>
              <w:t>否</w:t>
            </w:r>
          </w:p>
        </w:tc>
      </w:tr>
      <w:tr w14:paraId="1B831D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2" w:type="pct"/>
            <w:vAlign w:val="center"/>
          </w:tcPr>
          <w:p w14:paraId="04A8BC8B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课程代码</w:t>
            </w:r>
          </w:p>
        </w:tc>
        <w:tc>
          <w:tcPr>
            <w:tcW w:w="955" w:type="pct"/>
            <w:vAlign w:val="center"/>
          </w:tcPr>
          <w:p w14:paraId="5855D5FE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</w:rPr>
              <w:t>2</w:t>
            </w:r>
            <w:r>
              <w:rPr>
                <w:rFonts w:ascii="Times New Roman" w:cs="Times New Roman"/>
                <w:b/>
                <w:kern w:val="2"/>
                <w:sz w:val="21"/>
                <w:szCs w:val="21"/>
              </w:rPr>
              <w:t>4112083</w:t>
            </w:r>
          </w:p>
        </w:tc>
        <w:tc>
          <w:tcPr>
            <w:tcW w:w="782" w:type="pct"/>
            <w:vAlign w:val="center"/>
          </w:tcPr>
          <w:p w14:paraId="6FFF65A2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课程学分</w:t>
            </w:r>
          </w:p>
        </w:tc>
        <w:tc>
          <w:tcPr>
            <w:tcW w:w="700" w:type="pct"/>
            <w:vAlign w:val="center"/>
          </w:tcPr>
          <w:p w14:paraId="33EAFB6D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</w:rPr>
              <w:t>2</w:t>
            </w:r>
            <w:r>
              <w:rPr>
                <w:rFonts w:ascii="Times New Roman" w:cs="Times New Roman"/>
                <w:b/>
                <w:kern w:val="2"/>
                <w:sz w:val="21"/>
                <w:szCs w:val="21"/>
              </w:rPr>
              <w:t>.5</w:t>
            </w:r>
          </w:p>
        </w:tc>
        <w:tc>
          <w:tcPr>
            <w:tcW w:w="667" w:type="pct"/>
            <w:gridSpan w:val="2"/>
            <w:vAlign w:val="center"/>
          </w:tcPr>
          <w:p w14:paraId="58BC5CF0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总学时数</w:t>
            </w:r>
          </w:p>
        </w:tc>
        <w:tc>
          <w:tcPr>
            <w:tcW w:w="1205" w:type="pct"/>
            <w:gridSpan w:val="2"/>
            <w:vAlign w:val="center"/>
          </w:tcPr>
          <w:p w14:paraId="4D4642F2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40</w:t>
            </w:r>
          </w:p>
        </w:tc>
      </w:tr>
      <w:tr w14:paraId="1881B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692" w:type="pct"/>
            <w:vAlign w:val="center"/>
          </w:tcPr>
          <w:p w14:paraId="0FFC4FBC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课程类别</w:t>
            </w:r>
          </w:p>
        </w:tc>
        <w:tc>
          <w:tcPr>
            <w:tcW w:w="955" w:type="pct"/>
            <w:vAlign w:val="center"/>
          </w:tcPr>
          <w:p w14:paraId="5D8BA4C1">
            <w:pPr>
              <w:snapToGrid w:val="0"/>
              <w:spacing w:line="400" w:lineRule="exact"/>
              <w:rPr>
                <w:rFonts w:hAnsi="宋体"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□通识教育课程</w:t>
            </w:r>
          </w:p>
          <w:p w14:paraId="513C6890">
            <w:pPr>
              <w:snapToGrid w:val="0"/>
              <w:spacing w:line="400" w:lineRule="exact"/>
              <w:rPr>
                <w:rFonts w:hAnsi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□公共基础课程</w:t>
            </w:r>
          </w:p>
          <w:p w14:paraId="15843E19">
            <w:pPr>
              <w:snapToGrid w:val="0"/>
              <w:spacing w:line="400" w:lineRule="exact"/>
              <w:rPr>
                <w:rFonts w:hAnsi="宋体"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sym w:font="Wingdings 2" w:char="F052"/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专业教育课程</w:t>
            </w:r>
          </w:p>
          <w:p w14:paraId="0D4EFA22">
            <w:pPr>
              <w:snapToGrid w:val="0"/>
              <w:spacing w:line="400" w:lineRule="exact"/>
              <w:rPr>
                <w:rFonts w:hAnsi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□综合实践课程</w:t>
            </w:r>
          </w:p>
          <w:p w14:paraId="29DEB4E8">
            <w:pPr>
              <w:snapToGrid w:val="0"/>
              <w:spacing w:line="400" w:lineRule="exact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□教师教育课程</w:t>
            </w:r>
          </w:p>
        </w:tc>
        <w:tc>
          <w:tcPr>
            <w:tcW w:w="782" w:type="pct"/>
            <w:vAlign w:val="center"/>
          </w:tcPr>
          <w:p w14:paraId="5FCEF7DA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课程性质</w:t>
            </w:r>
          </w:p>
        </w:tc>
        <w:tc>
          <w:tcPr>
            <w:tcW w:w="700" w:type="pct"/>
            <w:vAlign w:val="center"/>
          </w:tcPr>
          <w:p w14:paraId="220762A7">
            <w:pPr>
              <w:snapToGrid w:val="0"/>
              <w:spacing w:line="400" w:lineRule="exact"/>
              <w:jc w:val="center"/>
              <w:rPr>
                <w:rFonts w:hAnsi="宋体"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sym w:font="Wingdings 2" w:char="F052"/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必修</w:t>
            </w:r>
          </w:p>
          <w:p w14:paraId="10606F32">
            <w:pPr>
              <w:snapToGrid w:val="0"/>
              <w:spacing w:line="400" w:lineRule="exact"/>
              <w:jc w:val="center"/>
              <w:rPr>
                <w:rFonts w:hAnsi="宋体"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□选修</w:t>
            </w:r>
          </w:p>
          <w:p w14:paraId="5E96926D">
            <w:pPr>
              <w:snapToGrid w:val="0"/>
              <w:spacing w:line="400" w:lineRule="exact"/>
              <w:jc w:val="center"/>
              <w:rPr>
                <w:rFonts w:hAnsi="宋体"/>
                <w:b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□其他</w:t>
            </w:r>
          </w:p>
        </w:tc>
        <w:tc>
          <w:tcPr>
            <w:tcW w:w="667" w:type="pct"/>
            <w:gridSpan w:val="2"/>
            <w:vAlign w:val="center"/>
          </w:tcPr>
          <w:p w14:paraId="517C4174">
            <w:pPr>
              <w:snapToGrid w:val="0"/>
              <w:spacing w:line="400" w:lineRule="exact"/>
              <w:jc w:val="center"/>
              <w:rPr>
                <w:rFonts w:hAnsi="宋体"/>
                <w:b/>
                <w:kern w:val="2"/>
                <w:sz w:val="21"/>
                <w:szCs w:val="21"/>
              </w:rPr>
            </w:pPr>
            <w:r>
              <w:rPr>
                <w:rFonts w:hint="eastAsia" w:hAnsi="宋体"/>
                <w:b/>
                <w:kern w:val="2"/>
                <w:sz w:val="21"/>
                <w:szCs w:val="21"/>
              </w:rPr>
              <w:t>课程形态</w:t>
            </w:r>
          </w:p>
        </w:tc>
        <w:tc>
          <w:tcPr>
            <w:tcW w:w="1205" w:type="pct"/>
            <w:gridSpan w:val="2"/>
            <w:vAlign w:val="center"/>
          </w:tcPr>
          <w:p w14:paraId="26E7E186">
            <w:pPr>
              <w:snapToGrid w:val="0"/>
              <w:spacing w:line="400" w:lineRule="exact"/>
              <w:rPr>
                <w:rFonts w:hAnsi="宋体"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□线上</w:t>
            </w:r>
          </w:p>
          <w:p w14:paraId="28C3981D">
            <w:pPr>
              <w:snapToGrid w:val="0"/>
              <w:spacing w:line="400" w:lineRule="exact"/>
              <w:rPr>
                <w:rFonts w:hAnsi="宋体"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□线下</w:t>
            </w:r>
          </w:p>
          <w:p w14:paraId="72AF607B">
            <w:pPr>
              <w:snapToGrid w:val="0"/>
              <w:spacing w:line="400" w:lineRule="exact"/>
              <w:rPr>
                <w:rFonts w:hAnsi="宋体"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sym w:font="Wingdings 2" w:char="F052"/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线上线下混合式</w:t>
            </w:r>
          </w:p>
          <w:p w14:paraId="4D15479E">
            <w:pPr>
              <w:snapToGrid w:val="0"/>
              <w:spacing w:line="400" w:lineRule="exact"/>
              <w:rPr>
                <w:rFonts w:hAnsi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□社会实践</w:t>
            </w:r>
          </w:p>
          <w:p w14:paraId="446958D5">
            <w:pPr>
              <w:snapToGrid w:val="0"/>
              <w:spacing w:line="400" w:lineRule="exact"/>
              <w:rPr>
                <w:rFonts w:hAnsi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□虚拟仿真实验教学</w:t>
            </w:r>
          </w:p>
        </w:tc>
      </w:tr>
      <w:tr w14:paraId="50DEE3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692" w:type="pct"/>
            <w:vAlign w:val="center"/>
          </w:tcPr>
          <w:p w14:paraId="42F48E26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考核方式</w:t>
            </w:r>
          </w:p>
        </w:tc>
        <w:tc>
          <w:tcPr>
            <w:tcW w:w="4308" w:type="pct"/>
            <w:gridSpan w:val="7"/>
            <w:vAlign w:val="center"/>
          </w:tcPr>
          <w:p w14:paraId="3AFE10A3">
            <w:pPr>
              <w:snapToGrid w:val="0"/>
              <w:spacing w:line="400" w:lineRule="exact"/>
              <w:rPr>
                <w:rFonts w:hAnsi="宋体"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sym w:font="Wingdings 2" w:char="F052"/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闭卷</w:t>
            </w:r>
            <w:r>
              <w:rPr>
                <w:rFonts w:hAnsi="宋体"/>
                <w:kern w:val="2"/>
                <w:sz w:val="21"/>
                <w:szCs w:val="21"/>
                <w:lang w:bidi="ar"/>
              </w:rPr>
              <w:t xml:space="preserve">  </w:t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□开卷</w:t>
            </w:r>
            <w:r>
              <w:rPr>
                <w:rFonts w:hAnsi="宋体"/>
                <w:kern w:val="2"/>
                <w:sz w:val="21"/>
                <w:szCs w:val="21"/>
                <w:lang w:bidi="ar"/>
              </w:rPr>
              <w:t xml:space="preserve">  </w:t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□课程论文</w:t>
            </w:r>
            <w:r>
              <w:rPr>
                <w:rFonts w:hAnsi="宋体"/>
                <w:kern w:val="2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□课程作品</w:t>
            </w:r>
            <w:r>
              <w:rPr>
                <w:rFonts w:hAnsi="宋体"/>
                <w:kern w:val="2"/>
                <w:sz w:val="21"/>
                <w:szCs w:val="21"/>
                <w:lang w:bidi="ar"/>
              </w:rPr>
              <w:t xml:space="preserve">  </w:t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□汇报展示</w:t>
            </w:r>
            <w:r>
              <w:rPr>
                <w:rFonts w:hAnsi="宋体"/>
                <w:kern w:val="2"/>
                <w:sz w:val="21"/>
                <w:szCs w:val="21"/>
                <w:lang w:bidi="ar"/>
              </w:rPr>
              <w:t xml:space="preserve">  </w:t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□报告</w:t>
            </w:r>
            <w:r>
              <w:rPr>
                <w:rFonts w:hAnsi="宋体"/>
                <w:kern w:val="2"/>
                <w:sz w:val="21"/>
                <w:szCs w:val="21"/>
                <w:lang w:bidi="ar"/>
              </w:rPr>
              <w:t xml:space="preserve">  </w:t>
            </w:r>
          </w:p>
          <w:p w14:paraId="3FD105F8">
            <w:pPr>
              <w:snapToGrid w:val="0"/>
              <w:spacing w:line="400" w:lineRule="exact"/>
              <w:rPr>
                <w:rFonts w:asci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sym w:font="Wingdings 2" w:char="F052"/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课堂表现</w:t>
            </w:r>
            <w:r>
              <w:rPr>
                <w:rFonts w:hAnsi="宋体"/>
                <w:kern w:val="2"/>
                <w:sz w:val="21"/>
                <w:szCs w:val="21"/>
                <w:lang w:bidi="ar"/>
              </w:rPr>
              <w:t xml:space="preserve">  </w:t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□阶段性测试</w:t>
            </w:r>
            <w:r>
              <w:rPr>
                <w:rFonts w:hAnsi="宋体"/>
                <w:kern w:val="2"/>
                <w:sz w:val="21"/>
                <w:szCs w:val="21"/>
                <w:lang w:bidi="ar"/>
              </w:rPr>
              <w:t xml:space="preserve">  </w:t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sym w:font="Wingdings 2" w:char="F052"/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t>平时作业</w:t>
            </w:r>
            <w:r>
              <w:rPr>
                <w:rFonts w:hAnsi="宋体"/>
                <w:kern w:val="2"/>
                <w:sz w:val="21"/>
                <w:szCs w:val="21"/>
                <w:lang w:bidi="ar"/>
              </w:rPr>
              <w:t xml:space="preserve">  </w:t>
            </w:r>
            <w:r>
              <w:rPr>
                <w:rFonts w:hAnsi="宋体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hAnsi="宋体"/>
                <w:kern w:val="2"/>
                <w:sz w:val="21"/>
                <w:szCs w:val="21"/>
                <w:lang w:bidi="ar"/>
              </w:rPr>
              <w:sym w:font="Wingdings 2" w:char="F052"/>
            </w:r>
            <w:r>
              <w:rPr>
                <w:rFonts w:hint="eastAsia" w:hAnsi="宋体"/>
                <w:sz w:val="21"/>
                <w:szCs w:val="21"/>
                <w:lang w:bidi="ar"/>
              </w:rPr>
              <w:t>其他</w:t>
            </w:r>
            <w:r>
              <w:rPr>
                <w:rFonts w:hAnsi="宋体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hAnsi="宋体"/>
                <w:sz w:val="21"/>
                <w:szCs w:val="21"/>
                <w:lang w:bidi="ar"/>
              </w:rPr>
              <w:t>（可多选）</w:t>
            </w:r>
          </w:p>
        </w:tc>
      </w:tr>
      <w:tr w14:paraId="073E61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692" w:type="pct"/>
            <w:vAlign w:val="center"/>
          </w:tcPr>
          <w:p w14:paraId="11C0ADCC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开课学院</w:t>
            </w:r>
          </w:p>
        </w:tc>
        <w:tc>
          <w:tcPr>
            <w:tcW w:w="1736" w:type="pct"/>
            <w:gridSpan w:val="2"/>
            <w:vAlign w:val="center"/>
          </w:tcPr>
          <w:p w14:paraId="27D830A5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材料科学与工程学院</w:t>
            </w:r>
          </w:p>
        </w:tc>
        <w:tc>
          <w:tcPr>
            <w:tcW w:w="700" w:type="pct"/>
            <w:vAlign w:val="center"/>
          </w:tcPr>
          <w:p w14:paraId="2BCEF300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开课</w:t>
            </w:r>
          </w:p>
          <w:p w14:paraId="3D4CFE4C">
            <w:pPr>
              <w:snapToGrid w:val="0"/>
              <w:spacing w:line="400" w:lineRule="exact"/>
              <w:jc w:val="both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系</w:t>
            </w:r>
            <w:r>
              <w:rPr>
                <w:rFonts w:ascii="Times New Roman" w:cs="Times New Roman"/>
                <w:b/>
                <w:kern w:val="2"/>
                <w:sz w:val="21"/>
                <w:szCs w:val="21"/>
                <w:lang w:bidi="ar"/>
              </w:rPr>
              <w:t>(</w:t>
            </w: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教研室</w:t>
            </w:r>
            <w:r>
              <w:rPr>
                <w:rFonts w:ascii="Times New Roman" w:cs="Times New Roman"/>
                <w:b/>
                <w:kern w:val="2"/>
                <w:sz w:val="21"/>
                <w:szCs w:val="21"/>
                <w:lang w:bidi="ar"/>
              </w:rPr>
              <w:t>)</w:t>
            </w:r>
          </w:p>
        </w:tc>
        <w:tc>
          <w:tcPr>
            <w:tcW w:w="1872" w:type="pct"/>
            <w:gridSpan w:val="4"/>
            <w:vAlign w:val="center"/>
          </w:tcPr>
          <w:p w14:paraId="4DC48565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材料科学与工程</w:t>
            </w:r>
          </w:p>
        </w:tc>
      </w:tr>
      <w:tr w14:paraId="18960D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692" w:type="pct"/>
            <w:vAlign w:val="center"/>
          </w:tcPr>
          <w:p w14:paraId="7F1F6A52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面向专业</w:t>
            </w:r>
          </w:p>
        </w:tc>
        <w:tc>
          <w:tcPr>
            <w:tcW w:w="1736" w:type="pct"/>
            <w:gridSpan w:val="2"/>
            <w:vAlign w:val="center"/>
          </w:tcPr>
          <w:p w14:paraId="4ADCC454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材料科学与工程</w:t>
            </w:r>
          </w:p>
        </w:tc>
        <w:tc>
          <w:tcPr>
            <w:tcW w:w="700" w:type="pct"/>
            <w:vAlign w:val="center"/>
          </w:tcPr>
          <w:p w14:paraId="1264A5DB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开课学期</w:t>
            </w:r>
          </w:p>
        </w:tc>
        <w:tc>
          <w:tcPr>
            <w:tcW w:w="1872" w:type="pct"/>
            <w:gridSpan w:val="4"/>
            <w:vAlign w:val="center"/>
          </w:tcPr>
          <w:p w14:paraId="3A3B8625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第4学期</w:t>
            </w:r>
          </w:p>
        </w:tc>
      </w:tr>
      <w:tr w14:paraId="08A340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92" w:type="pct"/>
            <w:vAlign w:val="center"/>
          </w:tcPr>
          <w:p w14:paraId="4F82CD6F">
            <w:pPr>
              <w:snapToGrid w:val="0"/>
              <w:spacing w:line="400" w:lineRule="exact"/>
              <w:jc w:val="center"/>
              <w:rPr>
                <w:rFonts w:asci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课程负责人</w:t>
            </w:r>
          </w:p>
        </w:tc>
        <w:tc>
          <w:tcPr>
            <w:tcW w:w="1736" w:type="pct"/>
            <w:gridSpan w:val="2"/>
            <w:vAlign w:val="center"/>
          </w:tcPr>
          <w:p w14:paraId="680FED5E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罗继辉</w:t>
            </w:r>
          </w:p>
        </w:tc>
        <w:tc>
          <w:tcPr>
            <w:tcW w:w="700" w:type="pct"/>
            <w:vAlign w:val="center"/>
          </w:tcPr>
          <w:p w14:paraId="46122B61">
            <w:pPr>
              <w:snapToGrid w:val="0"/>
              <w:spacing w:line="400" w:lineRule="exact"/>
              <w:jc w:val="center"/>
              <w:rPr>
                <w:rFonts w:asci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审核人</w:t>
            </w:r>
          </w:p>
        </w:tc>
        <w:tc>
          <w:tcPr>
            <w:tcW w:w="1872" w:type="pct"/>
            <w:gridSpan w:val="4"/>
            <w:vAlign w:val="center"/>
          </w:tcPr>
          <w:p w14:paraId="42170839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杨登辉</w:t>
            </w:r>
          </w:p>
        </w:tc>
      </w:tr>
      <w:tr w14:paraId="22F80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92" w:type="pct"/>
            <w:vAlign w:val="center"/>
          </w:tcPr>
          <w:p w14:paraId="79E7DD9C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先修课程</w:t>
            </w:r>
          </w:p>
        </w:tc>
        <w:tc>
          <w:tcPr>
            <w:tcW w:w="4308" w:type="pct"/>
            <w:gridSpan w:val="7"/>
            <w:vAlign w:val="center"/>
          </w:tcPr>
          <w:p w14:paraId="4F2D969E">
            <w:pPr>
              <w:snapToGrid w:val="0"/>
              <w:spacing w:line="400" w:lineRule="exact"/>
              <w:rPr>
                <w:rFonts w:asci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高等数学、大学物理（一）、材料科学基础</w:t>
            </w:r>
          </w:p>
        </w:tc>
      </w:tr>
      <w:tr w14:paraId="2F1589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92" w:type="pct"/>
            <w:vAlign w:val="center"/>
          </w:tcPr>
          <w:p w14:paraId="208EBF98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后续课程</w:t>
            </w:r>
          </w:p>
        </w:tc>
        <w:tc>
          <w:tcPr>
            <w:tcW w:w="4308" w:type="pct"/>
            <w:gridSpan w:val="7"/>
            <w:vAlign w:val="center"/>
          </w:tcPr>
          <w:p w14:paraId="1F58DCA6">
            <w:pPr>
              <w:snapToGrid w:val="0"/>
              <w:spacing w:line="400" w:lineRule="exact"/>
              <w:rPr>
                <w:rFonts w:asci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毕业设计、毕业实习</w:t>
            </w:r>
          </w:p>
        </w:tc>
      </w:tr>
      <w:tr w14:paraId="10D44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92" w:type="pct"/>
            <w:vAlign w:val="center"/>
          </w:tcPr>
          <w:p w14:paraId="683B3D29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选用教材</w:t>
            </w:r>
          </w:p>
        </w:tc>
        <w:tc>
          <w:tcPr>
            <w:tcW w:w="4308" w:type="pct"/>
            <w:gridSpan w:val="7"/>
            <w:vAlign w:val="center"/>
          </w:tcPr>
          <w:p w14:paraId="5B8823DA">
            <w:pPr>
              <w:snapToGrid w:val="0"/>
              <w:spacing w:line="400" w:lineRule="exact"/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"http://search.dangdang.com/?key2=%C7%F1%B3%C9%BE%FC&amp;medium=01&amp;category_path=01.00.00.00.00.00" \t "_blank" </w:instrText>
            </w:r>
            <w:r>
              <w:fldChar w:fldCharType="separate"/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邱成军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fldChar w:fldCharType="begin"/>
            </w:r>
            <w:r>
              <w:instrText xml:space="preserve"> HYPERLINK "http://search.dangdang.com/?key2=%CD%F5%D4%AA%BB%AA&amp;medium=01&amp;category_path=01.00.00.00.00.00" \t "_blank" </w:instrText>
            </w:r>
            <w:r>
              <w:fldChar w:fldCharType="separate"/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王元华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fldChar w:fldCharType="begin"/>
            </w:r>
            <w:r>
              <w:instrText xml:space="preserve"> HYPERLINK "http://search.dangdang.com/?key2=%C7%FA%CE%B0&amp;medium=01&amp;category_path=01.00.00.00.00.00" \t "_blank" </w:instrText>
            </w:r>
            <w:r>
              <w:fldChar w:fldCharType="separate"/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曲伟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材料物理性能（第3版）[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M]</w:t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fldChar w:fldCharType="begin"/>
            </w:r>
            <w:r>
              <w:instrText xml:space="preserve"> HYPERLINK "http://search.dangdang.com/?key3=%B9%FE%B6%FB%B1%F5%B9%A4%D2%B5%B4%F3%D1%A7%B3%F6%B0%E6%C9%E7&amp;medium=01&amp;category_path=01.00.00.00.00.00" \t "_blank" </w:instrText>
            </w:r>
            <w:r>
              <w:fldChar w:fldCharType="separate"/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哈尔滨工业大学出版社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20</w:t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12.</w:t>
            </w:r>
          </w:p>
        </w:tc>
      </w:tr>
      <w:tr w14:paraId="384515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692" w:type="pct"/>
            <w:vAlign w:val="center"/>
          </w:tcPr>
          <w:p w14:paraId="39F8CC77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参考书目</w:t>
            </w:r>
          </w:p>
        </w:tc>
        <w:tc>
          <w:tcPr>
            <w:tcW w:w="4308" w:type="pct"/>
            <w:gridSpan w:val="7"/>
            <w:vAlign w:val="center"/>
          </w:tcPr>
          <w:p w14:paraId="6BC9D033">
            <w:pPr>
              <w:snapToGrid w:val="0"/>
              <w:spacing w:line="400" w:lineRule="exact"/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吴其胜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材料物理性能[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M]</w:t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fldChar w:fldCharType="begin"/>
            </w:r>
            <w:r>
              <w:instrText xml:space="preserve"> HYPERLINK "http://search.dangdang.com/?key3=%B9%FE%B6%FB%B1%F5%B9%A4%D2%B5%B4%F3%D1%A7%B3%F6%B0%E6%C9%E7&amp;medium=01&amp;category_path=01.00.00.00.00.00" \t "_blank" </w:instrText>
            </w:r>
            <w:r>
              <w:fldChar w:fldCharType="separate"/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华东理工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大学出版社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20</w:t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06.</w:t>
            </w:r>
          </w:p>
        </w:tc>
      </w:tr>
      <w:tr w14:paraId="6F5597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692" w:type="pct"/>
            <w:vAlign w:val="center"/>
          </w:tcPr>
          <w:p w14:paraId="4D6750C2">
            <w:pPr>
              <w:snapToGrid w:val="0"/>
              <w:spacing w:line="400" w:lineRule="exact"/>
              <w:jc w:val="center"/>
              <w:rPr>
                <w:rFonts w:ascii="Times New Roman" w:cs="Times New Roman"/>
                <w:b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课程资源</w:t>
            </w:r>
          </w:p>
        </w:tc>
        <w:tc>
          <w:tcPr>
            <w:tcW w:w="4308" w:type="pct"/>
            <w:gridSpan w:val="7"/>
            <w:vAlign w:val="center"/>
          </w:tcPr>
          <w:p w14:paraId="0F9201A4">
            <w:pPr>
              <w:snapToGrid w:val="0"/>
              <w:spacing w:line="400" w:lineRule="exact"/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cs="Times New Roman"/>
                <w:sz w:val="18"/>
                <w:szCs w:val="18"/>
              </w:rPr>
              <w:t>https://www.bilibili.com/video/BV18b4y1Y7wd?p=1&amp;vd_source=bcbfc1fc26a49cdaab4703cc25b8b87d</w:t>
            </w:r>
          </w:p>
        </w:tc>
      </w:tr>
      <w:tr w14:paraId="34439F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692" w:type="pct"/>
            <w:vAlign w:val="center"/>
          </w:tcPr>
          <w:p w14:paraId="41B1D3B5">
            <w:pPr>
              <w:snapToGrid w:val="0"/>
              <w:spacing w:line="400" w:lineRule="exact"/>
              <w:jc w:val="center"/>
              <w:rPr>
                <w:rFonts w:asci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kern w:val="2"/>
                <w:sz w:val="21"/>
                <w:szCs w:val="21"/>
                <w:lang w:bidi="ar"/>
              </w:rPr>
              <w:t>课程简介</w:t>
            </w:r>
          </w:p>
        </w:tc>
        <w:tc>
          <w:tcPr>
            <w:tcW w:w="4308" w:type="pct"/>
            <w:gridSpan w:val="7"/>
            <w:vAlign w:val="center"/>
          </w:tcPr>
          <w:p w14:paraId="5E13AF94">
            <w:pPr>
              <w:snapToGrid w:val="0"/>
              <w:spacing w:line="400" w:lineRule="exact"/>
              <w:jc w:val="both"/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《材料物理性能》课程是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必修课程，主要学习内容包括材料的热学性能、材料的电学性能、材料的磁学性能、材料的光学性能、材料的弹性及内耗分析以及核物理检测方法及其应用</w:t>
            </w:r>
            <w:r>
              <w:rPr>
                <w:rFonts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通过本课程的教学，</w:t>
            </w:r>
            <w:r>
              <w:rPr>
                <w:rFonts w:ascii="Times New Roman" w:cs="Times New Roman"/>
                <w:sz w:val="21"/>
                <w:szCs w:val="21"/>
              </w:rPr>
              <w:t>使学生获得从事材料科学与工程相关职业必需的</w:t>
            </w:r>
            <w:r>
              <w:rPr>
                <w:rFonts w:hint="eastAsia" w:ascii="Times New Roman" w:cs="Times New Roman"/>
                <w:sz w:val="21"/>
                <w:szCs w:val="21"/>
              </w:rPr>
              <w:t>材料物理性能</w:t>
            </w:r>
            <w:r>
              <w:rPr>
                <w:rFonts w:ascii="Times New Roman" w:cs="Times New Roman"/>
                <w:sz w:val="21"/>
                <w:szCs w:val="21"/>
              </w:rPr>
              <w:t>基本理论、基础知识和基本方法，具有一定分析和解决实际问题的能力；具有理论联系实际的优良学风和勇于创新的科学精神；为将来的工作和科研打下较坚实的理论与实践基础。</w:t>
            </w:r>
          </w:p>
        </w:tc>
      </w:tr>
    </w:tbl>
    <w:p w14:paraId="2EAB8703">
      <w:pPr>
        <w:snapToGrid w:val="0"/>
        <w:spacing w:line="360" w:lineRule="auto"/>
        <w:rPr>
          <w:rFonts w:ascii="Times New Roman" w:cs="Times New Roman"/>
          <w:b/>
          <w:sz w:val="21"/>
          <w:szCs w:val="21"/>
        </w:rPr>
      </w:pPr>
      <w:r>
        <w:rPr>
          <w:rFonts w:hint="eastAsia" w:ascii="Times New Roman" w:eastAsia="黑体" w:cs="Times New Roman"/>
          <w:b/>
          <w:sz w:val="28"/>
          <w:szCs w:val="28"/>
        </w:rPr>
        <w:t>二、课程目标</w:t>
      </w:r>
    </w:p>
    <w:p w14:paraId="056755FC">
      <w:pPr>
        <w:pStyle w:val="33"/>
        <w:spacing w:line="320" w:lineRule="exact"/>
        <w:ind w:left="420" w:firstLine="0"/>
        <w:jc w:val="center"/>
        <w:rPr>
          <w:rFonts w:ascii="Times New Roman" w:cs="Times New Roman"/>
          <w:b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</w:t>
      </w:r>
      <w:r>
        <w:rPr>
          <w:rFonts w:ascii="Times New Roman" w:cs="Times New Roman"/>
          <w:b/>
          <w:sz w:val="21"/>
          <w:szCs w:val="21"/>
        </w:rPr>
        <w:t xml:space="preserve"> 1  </w:t>
      </w:r>
      <w:r>
        <w:rPr>
          <w:rFonts w:hint="eastAsia" w:ascii="Times New Roman" w:cs="Times New Roman"/>
          <w:b/>
          <w:sz w:val="21"/>
          <w:szCs w:val="21"/>
        </w:rPr>
        <w:t>课程目标</w:t>
      </w:r>
    </w:p>
    <w:tbl>
      <w:tblPr>
        <w:tblStyle w:val="12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7937"/>
      </w:tblGrid>
      <w:tr w14:paraId="794D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4" w:hRule="exact"/>
        </w:trPr>
        <w:tc>
          <w:tcPr>
            <w:tcW w:w="728" w:type="pct"/>
          </w:tcPr>
          <w:p w14:paraId="685A5A7E">
            <w:pPr>
              <w:widowControl/>
              <w:snapToGrid w:val="0"/>
              <w:spacing w:line="400" w:lineRule="exact"/>
              <w:jc w:val="center"/>
              <w:rPr>
                <w:rFonts w:asci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4272" w:type="pct"/>
          </w:tcPr>
          <w:p w14:paraId="6D4E8B95">
            <w:pPr>
              <w:widowControl/>
              <w:snapToGrid w:val="0"/>
              <w:spacing w:line="400" w:lineRule="exact"/>
              <w:jc w:val="center"/>
              <w:rPr>
                <w:rFonts w:asci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具体课程目标</w:t>
            </w:r>
          </w:p>
        </w:tc>
      </w:tr>
      <w:tr w14:paraId="5D762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exact"/>
        </w:trPr>
        <w:tc>
          <w:tcPr>
            <w:tcW w:w="728" w:type="pct"/>
          </w:tcPr>
          <w:p w14:paraId="367DFA8F">
            <w:pPr>
              <w:widowControl/>
              <w:snapToGrid w:val="0"/>
              <w:spacing w:line="400" w:lineRule="exact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课程目标</w:t>
            </w:r>
            <w:r>
              <w:rPr>
                <w:rFonts w:ascii="Times New Roman" w:cs="Times New Roman"/>
                <w:b/>
                <w:color w:val="000000"/>
                <w:sz w:val="21"/>
                <w:szCs w:val="21"/>
              </w:rPr>
              <w:t xml:space="preserve"> 1</w:t>
            </w:r>
          </w:p>
        </w:tc>
        <w:tc>
          <w:tcPr>
            <w:tcW w:w="4272" w:type="pct"/>
          </w:tcPr>
          <w:p w14:paraId="1A021898">
            <w:pPr>
              <w:snapToGrid w:val="0"/>
              <w:spacing w:line="400" w:lineRule="exact"/>
              <w:jc w:val="both"/>
              <w:rPr>
                <w:rFonts w:ascii="Times" w:hAnsi="Times"/>
                <w:sz w:val="21"/>
                <w:szCs w:val="21"/>
              </w:rPr>
            </w:pPr>
            <w:r>
              <w:rPr>
                <w:rFonts w:hint="eastAsia" w:ascii="Times" w:hAnsi="Times"/>
                <w:sz w:val="21"/>
                <w:szCs w:val="21"/>
              </w:rPr>
              <w:t>能应用表征材料力学、热学、光学、导电、介电、磁学等物理性能的各类本征参数的物理意义和单位，以及这些参数在解决工程材料的实际问题中所处的地位。</w:t>
            </w:r>
          </w:p>
        </w:tc>
      </w:tr>
      <w:tr w14:paraId="589E2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exact"/>
        </w:trPr>
        <w:tc>
          <w:tcPr>
            <w:tcW w:w="728" w:type="pct"/>
          </w:tcPr>
          <w:p w14:paraId="19D4503A">
            <w:pPr>
              <w:widowControl/>
              <w:snapToGrid w:val="0"/>
              <w:spacing w:line="400" w:lineRule="exact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课程目标</w:t>
            </w:r>
            <w:r>
              <w:rPr>
                <w:rFonts w:ascii="Times New Roman" w:cs="Times New Roman"/>
                <w:b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4272" w:type="pct"/>
          </w:tcPr>
          <w:p w14:paraId="0116894E">
            <w:pPr>
              <w:snapToGrid w:val="0"/>
              <w:spacing w:line="400" w:lineRule="exact"/>
              <w:jc w:val="both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" w:hAnsi="Times"/>
                <w:sz w:val="21"/>
                <w:szCs w:val="21"/>
              </w:rPr>
              <w:t>能描述材料的各种物理性能的原理及微观机理，简述材料物理性能的测定方法以及控制和改善性能的措施。能够运用数学、自然科学和工程科学的基本原理，结合实验归纳各种材料结构与物理性能的关系，各性能之间的相互制约与变化规律，梳理该课程与其他相关专业课的融合通道。</w:t>
            </w:r>
          </w:p>
        </w:tc>
      </w:tr>
      <w:tr w14:paraId="31CE9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</w:trPr>
        <w:tc>
          <w:tcPr>
            <w:tcW w:w="728" w:type="pct"/>
          </w:tcPr>
          <w:p w14:paraId="4725FE83">
            <w:pPr>
              <w:widowControl/>
              <w:snapToGrid w:val="0"/>
              <w:spacing w:line="400" w:lineRule="exact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课程目标</w:t>
            </w:r>
            <w:r>
              <w:rPr>
                <w:rFonts w:ascii="Times New Roman" w:cs="Times New Roman"/>
                <w:b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4272" w:type="pct"/>
          </w:tcPr>
          <w:p w14:paraId="17A1B5F8">
            <w:pPr>
              <w:snapToGrid w:val="0"/>
              <w:spacing w:line="400" w:lineRule="exact"/>
              <w:jc w:val="both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" w:hAnsi="Times"/>
                <w:sz w:val="21"/>
                <w:szCs w:val="21"/>
              </w:rPr>
              <w:t>能够使用适当的各种物理性能原理知识进行交流，应用符合职业和文化习惯的非语言交流方式，有效口头回答问</w:t>
            </w:r>
            <w:r>
              <w:rPr>
                <w:rFonts w:hint="eastAsia" w:asci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题和表达个人观点。</w:t>
            </w:r>
          </w:p>
        </w:tc>
      </w:tr>
    </w:tbl>
    <w:p w14:paraId="046C28B7">
      <w:pPr>
        <w:pStyle w:val="33"/>
        <w:spacing w:line="320" w:lineRule="exact"/>
        <w:ind w:left="420" w:firstLine="0"/>
        <w:jc w:val="center"/>
        <w:rPr>
          <w:rFonts w:ascii="Times New Roman" w:cs="Times New Roman"/>
          <w:b/>
          <w:sz w:val="21"/>
          <w:szCs w:val="21"/>
        </w:rPr>
      </w:pPr>
    </w:p>
    <w:p w14:paraId="4462A02A">
      <w:pPr>
        <w:pStyle w:val="33"/>
        <w:spacing w:line="320" w:lineRule="exact"/>
        <w:ind w:left="420" w:firstLine="0"/>
        <w:jc w:val="center"/>
        <w:rPr>
          <w:rFonts w:ascii="Times New Roman" w:cs="Times New Roman"/>
          <w:b/>
          <w:sz w:val="21"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</w:t>
      </w:r>
      <w:r>
        <w:rPr>
          <w:rFonts w:ascii="Times New Roman" w:cs="Times New Roman"/>
          <w:b/>
          <w:sz w:val="21"/>
          <w:szCs w:val="21"/>
        </w:rPr>
        <w:t xml:space="preserve">2-1 </w:t>
      </w:r>
      <w:r>
        <w:rPr>
          <w:rFonts w:hint="eastAsia" w:ascii="Times New Roman" w:cs="Times New Roman"/>
          <w:b/>
          <w:sz w:val="21"/>
          <w:szCs w:val="21"/>
        </w:rPr>
        <w:t>课程目标与毕业要求对应关系</w:t>
      </w:r>
    </w:p>
    <w:tbl>
      <w:tblPr>
        <w:tblStyle w:val="1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6"/>
        <w:gridCol w:w="3849"/>
        <w:gridCol w:w="1325"/>
      </w:tblGrid>
      <w:tr w14:paraId="663B8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6" w:hRule="atLeast"/>
          <w:tblHeader/>
          <w:jc w:val="center"/>
        </w:trPr>
        <w:tc>
          <w:tcPr>
            <w:tcW w:w="2215" w:type="pct"/>
            <w:vAlign w:val="center"/>
          </w:tcPr>
          <w:p w14:paraId="16A74121">
            <w:pPr>
              <w:snapToGrid w:val="0"/>
              <w:jc w:val="center"/>
              <w:rPr>
                <w:rFonts w:asci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毕业要求</w:t>
            </w:r>
          </w:p>
        </w:tc>
        <w:tc>
          <w:tcPr>
            <w:tcW w:w="2071" w:type="pct"/>
            <w:vAlign w:val="center"/>
          </w:tcPr>
          <w:p w14:paraId="297A489C">
            <w:pPr>
              <w:snapToGrid w:val="0"/>
              <w:jc w:val="center"/>
              <w:rPr>
                <w:rFonts w:asci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指标点</w:t>
            </w:r>
          </w:p>
        </w:tc>
        <w:tc>
          <w:tcPr>
            <w:tcW w:w="713" w:type="pct"/>
            <w:vAlign w:val="center"/>
          </w:tcPr>
          <w:p w14:paraId="5340564C">
            <w:pPr>
              <w:snapToGrid w:val="0"/>
              <w:jc w:val="center"/>
              <w:rPr>
                <w:rFonts w:asci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课程目标</w:t>
            </w:r>
          </w:p>
        </w:tc>
      </w:tr>
      <w:tr w14:paraId="573CC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215" w:type="pct"/>
            <w:vAlign w:val="center"/>
          </w:tcPr>
          <w:p w14:paraId="1404308E">
            <w:pPr>
              <w:spacing w:line="360" w:lineRule="auto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毕业要求2：问题分析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【</w:t>
            </w:r>
            <w:r>
              <w:rPr>
                <w:rFonts w:ascii="Times New Roman" w:cs="Times New Roman"/>
                <w:color w:val="000000"/>
                <w:sz w:val="21"/>
                <w:szCs w:val="21"/>
              </w:rPr>
              <w:t>H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】</w:t>
            </w:r>
          </w:p>
        </w:tc>
        <w:tc>
          <w:tcPr>
            <w:tcW w:w="2071" w:type="pct"/>
            <w:vAlign w:val="center"/>
          </w:tcPr>
          <w:p w14:paraId="7FC76F1B">
            <w:pPr>
              <w:spacing w:line="360" w:lineRule="auto"/>
              <w:jc w:val="both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cs="Times New Roman"/>
                <w:color w:val="000000"/>
                <w:sz w:val="21"/>
                <w:szCs w:val="21"/>
              </w:rPr>
              <w:t>2.4</w:t>
            </w:r>
            <w:r>
              <w:rPr>
                <w:rFonts w:hint="eastAsia" w:asci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能运用自然科学及专业的基本原理，借助文献研究，并从可持续发展的角度分析新材料设计和制备-结构性能分析-新材料技术开发与应用方面过程关键环节和参数，并提出有效的结论。</w:t>
            </w:r>
          </w:p>
        </w:tc>
        <w:tc>
          <w:tcPr>
            <w:tcW w:w="713" w:type="pct"/>
            <w:vAlign w:val="center"/>
          </w:tcPr>
          <w:p w14:paraId="20FE4F81">
            <w:pPr>
              <w:spacing w:line="360" w:lineRule="auto"/>
              <w:jc w:val="center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目标1</w:t>
            </w:r>
          </w:p>
        </w:tc>
      </w:tr>
      <w:tr w14:paraId="59D5A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2215" w:type="pct"/>
            <w:vAlign w:val="center"/>
          </w:tcPr>
          <w:p w14:paraId="4CA45F91">
            <w:pPr>
              <w:spacing w:line="360" w:lineRule="auto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毕业要求</w:t>
            </w:r>
            <w:r>
              <w:rPr>
                <w:rFonts w:ascii="Times New Roman" w:cs="Times New Roman"/>
                <w:b/>
                <w:color w:val="000000"/>
                <w:sz w:val="21"/>
                <w:szCs w:val="21"/>
              </w:rPr>
              <w:t>4</w:t>
            </w: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：研究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【</w:t>
            </w:r>
            <w:r>
              <w:rPr>
                <w:rFonts w:ascii="Times New Roman" w:cs="Times New Roman"/>
                <w:color w:val="000000"/>
                <w:sz w:val="21"/>
                <w:szCs w:val="21"/>
              </w:rPr>
              <w:t>M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】</w:t>
            </w:r>
          </w:p>
        </w:tc>
        <w:tc>
          <w:tcPr>
            <w:tcW w:w="2071" w:type="pct"/>
            <w:vAlign w:val="center"/>
          </w:tcPr>
          <w:p w14:paraId="58F31292">
            <w:pPr>
              <w:spacing w:line="360" w:lineRule="auto"/>
              <w:jc w:val="both"/>
              <w:rPr>
                <w:rFonts w:asci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.3</w:t>
            </w:r>
            <w:r>
              <w:rPr>
                <w:rFonts w:hint="eastAsia" w:asci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在新材料实验方案基础之上，安全地开展实验，并正确采集新材料制备理论、工艺及性能相关实验数据。</w:t>
            </w:r>
          </w:p>
        </w:tc>
        <w:tc>
          <w:tcPr>
            <w:tcW w:w="713" w:type="pct"/>
            <w:vAlign w:val="center"/>
          </w:tcPr>
          <w:p w14:paraId="001C542B">
            <w:pPr>
              <w:spacing w:line="360" w:lineRule="auto"/>
              <w:jc w:val="center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目标2</w:t>
            </w:r>
          </w:p>
        </w:tc>
      </w:tr>
      <w:tr w14:paraId="1EF39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2215" w:type="pct"/>
            <w:vAlign w:val="center"/>
          </w:tcPr>
          <w:p w14:paraId="4936D8A9">
            <w:pPr>
              <w:spacing w:line="360" w:lineRule="auto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毕业要求1</w:t>
            </w:r>
            <w:r>
              <w:rPr>
                <w:rFonts w:ascii="Times New Roman" w:cs="Times New Roman"/>
                <w:b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：沟通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【L】</w:t>
            </w:r>
          </w:p>
        </w:tc>
        <w:tc>
          <w:tcPr>
            <w:tcW w:w="2071" w:type="pct"/>
            <w:vAlign w:val="center"/>
          </w:tcPr>
          <w:p w14:paraId="58229606">
            <w:pPr>
              <w:spacing w:line="360" w:lineRule="auto"/>
              <w:jc w:val="both"/>
              <w:rPr>
                <w:rFonts w:asci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10.3</w:t>
            </w:r>
            <w:r>
              <w:rPr>
                <w:rFonts w:hint="eastAsia" w:asci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能够使用适当的语言、风格、时间和流程进行交流，应用符合职业和文化习惯的非语言交流方式（手势、眼神接触、姿态），有效口头回答问题和表达个人观点。</w:t>
            </w:r>
          </w:p>
        </w:tc>
        <w:tc>
          <w:tcPr>
            <w:tcW w:w="713" w:type="pct"/>
            <w:vAlign w:val="center"/>
          </w:tcPr>
          <w:p w14:paraId="41E23AB9">
            <w:pPr>
              <w:spacing w:line="360" w:lineRule="auto"/>
              <w:jc w:val="center"/>
              <w:rPr>
                <w:rFonts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目标3</w:t>
            </w:r>
          </w:p>
        </w:tc>
      </w:tr>
    </w:tbl>
    <w:p w14:paraId="03B89436">
      <w:pPr>
        <w:rPr>
          <w:rFonts w:ascii="Times New Roman" w:cs="Times New Roman"/>
        </w:rPr>
      </w:pPr>
    </w:p>
    <w:p w14:paraId="24DC3E4C">
      <w:pPr>
        <w:jc w:val="center"/>
        <w:rPr>
          <w:rFonts w:ascii="Times New Roman" w:cs="Times New Roman"/>
        </w:rPr>
      </w:pPr>
    </w:p>
    <w:p w14:paraId="317949A8">
      <w:pPr>
        <w:tabs>
          <w:tab w:val="center" w:pos="4538"/>
        </w:tabs>
        <w:rPr>
          <w:rFonts w:ascii="Times New Roman" w:cs="Times New Roman"/>
        </w:rPr>
        <w:sectPr>
          <w:footerReference r:id="rId3" w:type="default"/>
          <w:pgSz w:w="11910" w:h="16840"/>
          <w:pgMar w:top="1420" w:right="1417" w:bottom="1417" w:left="1417" w:header="720" w:footer="720" w:gutter="0"/>
          <w:cols w:space="720" w:num="1"/>
        </w:sectPr>
      </w:pPr>
      <w:r>
        <w:rPr>
          <w:rFonts w:ascii="Times New Roman" w:cs="Times New Roman"/>
        </w:rPr>
        <w:tab/>
      </w:r>
    </w:p>
    <w:p w14:paraId="74051E15">
      <w:pPr>
        <w:pStyle w:val="6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hint="eastAsia" w:ascii="Times New Roman" w:eastAsia="黑体" w:cs="Times New Roman"/>
          <w:b/>
          <w:sz w:val="28"/>
          <w:szCs w:val="28"/>
        </w:rPr>
        <w:t>三、课程学习内容与方法</w:t>
      </w:r>
    </w:p>
    <w:p w14:paraId="035FFB0D">
      <w:pPr>
        <w:pStyle w:val="6"/>
        <w:kinsoku w:val="0"/>
        <w:overflowPunct w:val="0"/>
        <w:spacing w:before="66"/>
        <w:jc w:val="center"/>
        <w:rPr>
          <w:rFonts w:ascii="Times New Roman" w:cs="Times New Roman"/>
          <w:b/>
          <w:sz w:val="21"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</w:t>
      </w:r>
      <w:r>
        <w:rPr>
          <w:rFonts w:ascii="Times New Roman" w:cs="Times New Roman"/>
          <w:b/>
          <w:sz w:val="21"/>
          <w:szCs w:val="21"/>
        </w:rPr>
        <w:t xml:space="preserve">3-1 </w:t>
      </w:r>
      <w:r>
        <w:rPr>
          <w:rFonts w:hint="eastAsia" w:ascii="Times New Roman" w:cs="Times New Roman"/>
          <w:b/>
          <w:sz w:val="21"/>
          <w:szCs w:val="21"/>
        </w:rPr>
        <w:t>课程目标、学习内容和教学方法对应关系</w:t>
      </w:r>
    </w:p>
    <w:tbl>
      <w:tblPr>
        <w:tblStyle w:val="1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483"/>
        <w:gridCol w:w="2683"/>
        <w:gridCol w:w="2430"/>
        <w:gridCol w:w="1717"/>
        <w:gridCol w:w="3289"/>
        <w:gridCol w:w="1615"/>
        <w:gridCol w:w="500"/>
      </w:tblGrid>
      <w:tr w14:paraId="61FBA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4" w:type="pct"/>
            <w:vAlign w:val="center"/>
          </w:tcPr>
          <w:p w14:paraId="142ED919">
            <w:pPr>
              <w:snapToGrid w:val="0"/>
              <w:spacing w:line="400" w:lineRule="exact"/>
              <w:rPr>
                <w:rFonts w:ascii="Times New Roman" w:eastAsia="黑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eastAsia="黑体" w:cs="Times New Roman"/>
                <w:b/>
                <w:sz w:val="21"/>
                <w:szCs w:val="21"/>
              </w:rPr>
              <w:t>序号</w:t>
            </w:r>
          </w:p>
        </w:tc>
        <w:tc>
          <w:tcPr>
            <w:tcW w:w="522" w:type="pct"/>
            <w:vAlign w:val="center"/>
          </w:tcPr>
          <w:p w14:paraId="644B5079">
            <w:pPr>
              <w:snapToGrid w:val="0"/>
              <w:spacing w:line="400" w:lineRule="exact"/>
              <w:jc w:val="center"/>
              <w:rPr>
                <w:rFonts w:ascii="Times New Roman" w:eastAsia="黑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eastAsia="黑体" w:cs="Times New Roman"/>
                <w:b/>
                <w:sz w:val="21"/>
                <w:szCs w:val="21"/>
              </w:rPr>
              <w:t>课程模块</w:t>
            </w:r>
          </w:p>
        </w:tc>
        <w:tc>
          <w:tcPr>
            <w:tcW w:w="944" w:type="pct"/>
            <w:vAlign w:val="center"/>
          </w:tcPr>
          <w:p w14:paraId="385B1B3B">
            <w:pPr>
              <w:snapToGrid w:val="0"/>
              <w:spacing w:line="400" w:lineRule="exact"/>
              <w:jc w:val="center"/>
              <w:rPr>
                <w:rFonts w:ascii="Times New Roman" w:eastAsia="黑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eastAsia="黑体" w:cs="Times New Roman"/>
                <w:b/>
                <w:sz w:val="21"/>
                <w:szCs w:val="21"/>
              </w:rPr>
              <w:t>学习内容</w:t>
            </w:r>
          </w:p>
        </w:tc>
        <w:tc>
          <w:tcPr>
            <w:tcW w:w="855" w:type="pct"/>
            <w:vAlign w:val="center"/>
          </w:tcPr>
          <w:p w14:paraId="1A308825">
            <w:pPr>
              <w:snapToGrid w:val="0"/>
              <w:spacing w:line="400" w:lineRule="exact"/>
              <w:jc w:val="center"/>
              <w:rPr>
                <w:rFonts w:ascii="Times New Roman" w:eastAsia="黑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eastAsia="黑体" w:cs="Times New Roman"/>
                <w:b/>
                <w:sz w:val="21"/>
                <w:szCs w:val="21"/>
              </w:rPr>
              <w:t>学习任务</w:t>
            </w:r>
          </w:p>
        </w:tc>
        <w:tc>
          <w:tcPr>
            <w:tcW w:w="604" w:type="pct"/>
            <w:vAlign w:val="center"/>
          </w:tcPr>
          <w:p w14:paraId="52E3A185">
            <w:pPr>
              <w:snapToGrid w:val="0"/>
              <w:spacing w:line="400" w:lineRule="exact"/>
              <w:jc w:val="center"/>
              <w:rPr>
                <w:rFonts w:ascii="Times New Roman" w:eastAsia="黑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eastAsia="黑体" w:cs="Times New Roman"/>
                <w:b/>
                <w:sz w:val="21"/>
                <w:szCs w:val="21"/>
              </w:rPr>
              <w:t>课程目标</w:t>
            </w:r>
          </w:p>
        </w:tc>
        <w:tc>
          <w:tcPr>
            <w:tcW w:w="1157" w:type="pct"/>
            <w:vAlign w:val="center"/>
          </w:tcPr>
          <w:p w14:paraId="01B8605C">
            <w:pPr>
              <w:snapToGrid w:val="0"/>
              <w:spacing w:line="400" w:lineRule="exact"/>
              <w:jc w:val="center"/>
              <w:rPr>
                <w:rFonts w:ascii="Times New Roman" w:eastAsia="黑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eastAsia="黑体" w:cs="Times New Roman"/>
                <w:b/>
                <w:sz w:val="21"/>
                <w:szCs w:val="21"/>
              </w:rPr>
              <w:t>学习重点难点</w:t>
            </w:r>
          </w:p>
        </w:tc>
        <w:tc>
          <w:tcPr>
            <w:tcW w:w="568" w:type="pct"/>
            <w:vAlign w:val="center"/>
          </w:tcPr>
          <w:p w14:paraId="19555243">
            <w:pPr>
              <w:pStyle w:val="31"/>
              <w:kinsoku w:val="0"/>
              <w:overflowPunct w:val="0"/>
              <w:spacing w:before="22"/>
              <w:ind w:left="70" w:right="60"/>
              <w:jc w:val="center"/>
              <w:rPr>
                <w:rFonts w:ascii="Times New Roman" w:eastAsia="黑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eastAsia="黑体" w:cs="Times New Roman"/>
                <w:b/>
                <w:sz w:val="21"/>
                <w:szCs w:val="21"/>
              </w:rPr>
              <w:t>教学方法</w:t>
            </w:r>
          </w:p>
        </w:tc>
        <w:tc>
          <w:tcPr>
            <w:tcW w:w="176" w:type="pct"/>
            <w:vAlign w:val="center"/>
          </w:tcPr>
          <w:p w14:paraId="79418797">
            <w:pPr>
              <w:snapToGrid w:val="0"/>
              <w:spacing w:line="400" w:lineRule="exact"/>
              <w:jc w:val="center"/>
              <w:rPr>
                <w:rFonts w:ascii="Times New Roman" w:eastAsia="黑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eastAsia="黑体" w:cs="Times New Roman"/>
                <w:b/>
                <w:sz w:val="21"/>
                <w:szCs w:val="21"/>
              </w:rPr>
              <w:t>学时</w:t>
            </w:r>
          </w:p>
        </w:tc>
      </w:tr>
      <w:tr w14:paraId="100DB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74" w:type="pct"/>
            <w:vMerge w:val="restart"/>
            <w:vAlign w:val="center"/>
          </w:tcPr>
          <w:p w14:paraId="0E1BB7C0">
            <w:pPr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22" w:type="pct"/>
            <w:vMerge w:val="restart"/>
            <w:vAlign w:val="center"/>
          </w:tcPr>
          <w:p w14:paraId="3447C340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材料的热学性能</w:t>
            </w:r>
          </w:p>
        </w:tc>
        <w:tc>
          <w:tcPr>
            <w:tcW w:w="944" w:type="pct"/>
            <w:vAlign w:val="center"/>
          </w:tcPr>
          <w:p w14:paraId="401A4B76">
            <w:pPr>
              <w:spacing w:line="300" w:lineRule="exact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1.材料物理性能的地位、研究内容、研究方法。材料热容的各种理论，热膨胀的定义及其基本机理，热传导的宏观规律和微观机理，热稳定性的表示，德拜温度的物理意义。</w:t>
            </w:r>
          </w:p>
        </w:tc>
        <w:tc>
          <w:tcPr>
            <w:tcW w:w="855" w:type="pct"/>
            <w:vMerge w:val="restart"/>
            <w:vAlign w:val="center"/>
          </w:tcPr>
          <w:p w14:paraId="5DB3DC43">
            <w:pPr>
              <w:spacing w:line="3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1.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拓展阅读：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热学性能在材料科学研究中的进展。</w:t>
            </w:r>
          </w:p>
          <w:p w14:paraId="6D3A0B4B">
            <w:pPr>
              <w:spacing w:line="3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2.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线上学习：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热稳定的判别方法及其应用</w:t>
            </w:r>
          </w:p>
          <w:p w14:paraId="69704614">
            <w:pPr>
              <w:spacing w:line="300" w:lineRule="exact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3</w:t>
            </w:r>
            <w:r>
              <w:rPr>
                <w:rFonts w:ascii="Times New Roman" w:cs="Times New Roman"/>
                <w:b/>
                <w:sz w:val="21"/>
                <w:szCs w:val="21"/>
              </w:rPr>
              <w:t>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小组作业：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讨论热容的物理意义</w:t>
            </w:r>
          </w:p>
        </w:tc>
        <w:tc>
          <w:tcPr>
            <w:tcW w:w="604" w:type="pct"/>
            <w:vAlign w:val="center"/>
          </w:tcPr>
          <w:p w14:paraId="133D5917">
            <w:pPr>
              <w:spacing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hAnsi="宋体"/>
                <w:szCs w:val="24"/>
              </w:rPr>
              <w:t>课程目标</w:t>
            </w:r>
            <w:r>
              <w:rPr>
                <w:rFonts w:hAnsi="宋体"/>
              </w:rPr>
              <w:t>1</w:t>
            </w:r>
            <w:r>
              <w:rPr>
                <w:rFonts w:hint="eastAsia" w:hAnsi="宋体"/>
              </w:rPr>
              <w:t>、2、3</w:t>
            </w:r>
          </w:p>
        </w:tc>
        <w:tc>
          <w:tcPr>
            <w:tcW w:w="1157" w:type="pct"/>
            <w:vMerge w:val="restart"/>
            <w:vAlign w:val="center"/>
          </w:tcPr>
          <w:p w14:paraId="041E308B">
            <w:pPr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重点：</w:t>
            </w:r>
          </w:p>
          <w:p w14:paraId="15390802">
            <w:pPr>
              <w:rPr>
                <w:rFonts w:hAnsi="宋体"/>
                <w:szCs w:val="24"/>
              </w:rPr>
            </w:pPr>
            <w:r>
              <w:rPr>
                <w:rFonts w:hAnsi="宋体"/>
                <w:szCs w:val="24"/>
              </w:rPr>
              <w:t>1.</w:t>
            </w:r>
            <w:r>
              <w:rPr>
                <w:rFonts w:hint="eastAsia" w:hAnsi="宋体"/>
                <w:szCs w:val="24"/>
              </w:rPr>
              <w:t>材料热容的各种理论及其比较</w:t>
            </w:r>
          </w:p>
          <w:p w14:paraId="47F50174">
            <w:pPr>
              <w:rPr>
                <w:rFonts w:hAnsi="宋体"/>
                <w:szCs w:val="24"/>
              </w:rPr>
            </w:pPr>
            <w:r>
              <w:rPr>
                <w:rFonts w:hAnsi="宋体"/>
                <w:szCs w:val="24"/>
              </w:rPr>
              <w:t>2.</w:t>
            </w:r>
            <w:r>
              <w:rPr>
                <w:rFonts w:hint="eastAsia" w:hAnsi="宋体"/>
                <w:szCs w:val="24"/>
              </w:rPr>
              <w:t>热膨胀的定义及其基本机理</w:t>
            </w:r>
          </w:p>
          <w:p w14:paraId="1D4598FB">
            <w:pPr>
              <w:rPr>
                <w:rFonts w:hAnsi="宋体"/>
                <w:szCs w:val="24"/>
              </w:rPr>
            </w:pPr>
            <w:r>
              <w:rPr>
                <w:rFonts w:hAnsi="宋体"/>
                <w:szCs w:val="24"/>
              </w:rPr>
              <w:t>3.</w:t>
            </w:r>
            <w:r>
              <w:rPr>
                <w:rFonts w:hint="eastAsia" w:hAnsi="宋体"/>
                <w:szCs w:val="24"/>
              </w:rPr>
              <w:t>热传导的宏观规律和微观机理</w:t>
            </w:r>
          </w:p>
          <w:p w14:paraId="120AA6DC">
            <w:pPr>
              <w:rPr>
                <w:rFonts w:hAnsi="宋体"/>
                <w:szCs w:val="24"/>
              </w:rPr>
            </w:pPr>
            <w:r>
              <w:rPr>
                <w:rFonts w:hAnsi="宋体"/>
                <w:szCs w:val="24"/>
              </w:rPr>
              <w:t>4.</w:t>
            </w:r>
            <w:r>
              <w:rPr>
                <w:rFonts w:hint="eastAsia" w:hAnsi="宋体"/>
                <w:szCs w:val="24"/>
              </w:rPr>
              <w:t>热稳定性的表示，德拜温度的物理意义。</w:t>
            </w:r>
          </w:p>
          <w:p w14:paraId="3DAFF8F3">
            <w:pPr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难点：</w:t>
            </w:r>
          </w:p>
          <w:p w14:paraId="3C87568C">
            <w:pPr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hAnsi="宋体"/>
                <w:szCs w:val="24"/>
              </w:rPr>
              <w:t>热传导微观机理</w:t>
            </w:r>
          </w:p>
        </w:tc>
        <w:tc>
          <w:tcPr>
            <w:tcW w:w="568" w:type="pct"/>
            <w:vMerge w:val="restart"/>
            <w:vAlign w:val="center"/>
          </w:tcPr>
          <w:p w14:paraId="5DF4B246">
            <w:pPr>
              <w:pStyle w:val="31"/>
              <w:kinsoku w:val="0"/>
              <w:overflowPunct w:val="0"/>
              <w:spacing w:before="99"/>
              <w:ind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1</w:t>
            </w:r>
            <w:r>
              <w:rPr>
                <w:rFonts w:ascii="Times New Roman" w:cs="Times New Roman"/>
                <w:b/>
                <w:sz w:val="21"/>
                <w:szCs w:val="21"/>
              </w:rPr>
              <w:t>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讲授法：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能够引导学生学习兴趣，促进学生专业知识提高。</w:t>
            </w:r>
          </w:p>
          <w:p w14:paraId="6BD8AE38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2.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案例教学：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能够促进学生综合素质提高。</w:t>
            </w:r>
          </w:p>
          <w:p w14:paraId="2F100EF4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hint="eastAsia" w:ascii="Times New Roman" w:cs="Times New Roman"/>
                <w:b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3.翻转课堂：</w:t>
            </w:r>
            <w:r>
              <w:rPr>
                <w:rFonts w:hint="eastAsia" w:ascii="Times New Roman" w:cs="Times New Roman"/>
                <w:sz w:val="21"/>
                <w:szCs w:val="21"/>
              </w:rPr>
              <w:t>促进学生自主学习，提高综合素质。</w:t>
            </w:r>
          </w:p>
        </w:tc>
        <w:tc>
          <w:tcPr>
            <w:tcW w:w="176" w:type="pct"/>
            <w:vMerge w:val="restart"/>
            <w:vAlign w:val="center"/>
          </w:tcPr>
          <w:p w14:paraId="161A752B">
            <w:pPr>
              <w:snapToGrid w:val="0"/>
              <w:spacing w:line="400" w:lineRule="exact"/>
              <w:jc w:val="center"/>
              <w:rPr>
                <w:rFonts w:ascii="Times New Roman" w:eastAsia="黑体" w:cs="Times New Roman"/>
                <w:sz w:val="21"/>
                <w:szCs w:val="21"/>
              </w:rPr>
            </w:pPr>
            <w:r>
              <w:rPr>
                <w:rFonts w:hint="eastAsia" w:eastAsia="黑体"/>
                <w:szCs w:val="21"/>
              </w:rPr>
              <w:t>6</w:t>
            </w:r>
          </w:p>
        </w:tc>
      </w:tr>
      <w:tr w14:paraId="03D6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74" w:type="pct"/>
            <w:vMerge w:val="continue"/>
            <w:vAlign w:val="center"/>
          </w:tcPr>
          <w:p w14:paraId="78BAC6F4">
            <w:pPr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vAlign w:val="center"/>
          </w:tcPr>
          <w:p w14:paraId="306F8763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41A9A779">
            <w:pPr>
              <w:spacing w:line="300" w:lineRule="exact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2.比热容的测量、计算及热分析方法</w:t>
            </w:r>
          </w:p>
        </w:tc>
        <w:tc>
          <w:tcPr>
            <w:tcW w:w="855" w:type="pct"/>
            <w:vMerge w:val="continue"/>
            <w:vAlign w:val="center"/>
          </w:tcPr>
          <w:p w14:paraId="248AA3E0">
            <w:pPr>
              <w:spacing w:line="300" w:lineRule="exact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604" w:type="pct"/>
            <w:vAlign w:val="center"/>
          </w:tcPr>
          <w:p w14:paraId="75BD96D2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hAnsi="宋体"/>
                <w:szCs w:val="24"/>
              </w:rPr>
              <w:t>课程目标</w:t>
            </w:r>
            <w:r>
              <w:rPr>
                <w:rFonts w:hAnsi="宋体"/>
              </w:rPr>
              <w:t>1</w:t>
            </w:r>
            <w:r>
              <w:rPr>
                <w:rFonts w:hint="eastAsia" w:hAnsi="宋体"/>
              </w:rPr>
              <w:t>、2、3</w:t>
            </w:r>
          </w:p>
        </w:tc>
        <w:tc>
          <w:tcPr>
            <w:tcW w:w="1157" w:type="pct"/>
            <w:vMerge w:val="continue"/>
            <w:vAlign w:val="center"/>
          </w:tcPr>
          <w:p w14:paraId="054FFD50">
            <w:pPr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68B5A5D3">
            <w:pPr>
              <w:pStyle w:val="31"/>
              <w:kinsoku w:val="0"/>
              <w:overflowPunct w:val="0"/>
              <w:spacing w:before="99"/>
              <w:ind w:left="70" w:right="60"/>
              <w:jc w:val="center"/>
              <w:rPr>
                <w:rFonts w:ascii="Times New Roman" w:cs="Times New Roman"/>
                <w:b/>
                <w:sz w:val="21"/>
                <w:szCs w:val="21"/>
              </w:rPr>
            </w:pPr>
          </w:p>
        </w:tc>
        <w:tc>
          <w:tcPr>
            <w:tcW w:w="176" w:type="pct"/>
            <w:vMerge w:val="continue"/>
            <w:vAlign w:val="center"/>
          </w:tcPr>
          <w:p w14:paraId="1BA77F99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050C9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74" w:type="pct"/>
            <w:vMerge w:val="continue"/>
            <w:vAlign w:val="center"/>
          </w:tcPr>
          <w:p w14:paraId="634E6C8C">
            <w:pPr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vAlign w:val="center"/>
          </w:tcPr>
          <w:p w14:paraId="52A726E0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718B4E6B">
            <w:pPr>
              <w:spacing w:line="300" w:lineRule="exact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3.热性能分析在材料研究中的应用</w:t>
            </w:r>
          </w:p>
        </w:tc>
        <w:tc>
          <w:tcPr>
            <w:tcW w:w="855" w:type="pct"/>
            <w:vMerge w:val="continue"/>
            <w:vAlign w:val="center"/>
          </w:tcPr>
          <w:p w14:paraId="084C400F">
            <w:pPr>
              <w:spacing w:line="300" w:lineRule="exact"/>
              <w:ind w:firstLine="420" w:firstLineChars="200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604" w:type="pct"/>
            <w:vAlign w:val="center"/>
          </w:tcPr>
          <w:p w14:paraId="70422330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hAnsi="宋体"/>
                <w:szCs w:val="24"/>
              </w:rPr>
              <w:t>课程目标</w:t>
            </w:r>
            <w:r>
              <w:rPr>
                <w:rFonts w:hAnsi="宋体"/>
              </w:rPr>
              <w:t>1</w:t>
            </w:r>
            <w:r>
              <w:rPr>
                <w:rFonts w:hint="eastAsia" w:hAnsi="宋体"/>
              </w:rPr>
              <w:t>、2、3</w:t>
            </w:r>
          </w:p>
        </w:tc>
        <w:tc>
          <w:tcPr>
            <w:tcW w:w="1157" w:type="pct"/>
            <w:vMerge w:val="continue"/>
            <w:vAlign w:val="center"/>
          </w:tcPr>
          <w:p w14:paraId="344CDAEE">
            <w:pPr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0377A4EC">
            <w:pPr>
              <w:pStyle w:val="31"/>
              <w:kinsoku w:val="0"/>
              <w:overflowPunct w:val="0"/>
              <w:spacing w:before="99"/>
              <w:ind w:left="70" w:right="60"/>
              <w:jc w:val="center"/>
              <w:rPr>
                <w:rFonts w:ascii="Times New Roman" w:cs="Times New Roman"/>
                <w:b/>
                <w:sz w:val="21"/>
                <w:szCs w:val="21"/>
              </w:rPr>
            </w:pPr>
          </w:p>
        </w:tc>
        <w:tc>
          <w:tcPr>
            <w:tcW w:w="176" w:type="pct"/>
            <w:vMerge w:val="continue"/>
            <w:vAlign w:val="center"/>
          </w:tcPr>
          <w:p w14:paraId="1FFE97A6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27EB1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74" w:type="pct"/>
            <w:vMerge w:val="restart"/>
            <w:vAlign w:val="center"/>
          </w:tcPr>
          <w:p w14:paraId="561C97BB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2</w:t>
            </w:r>
          </w:p>
        </w:tc>
        <w:tc>
          <w:tcPr>
            <w:tcW w:w="522" w:type="pct"/>
            <w:vMerge w:val="restart"/>
            <w:vAlign w:val="center"/>
          </w:tcPr>
          <w:p w14:paraId="6A0B3B1C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材料的电导性能</w:t>
            </w:r>
          </w:p>
        </w:tc>
        <w:tc>
          <w:tcPr>
            <w:tcW w:w="944" w:type="pct"/>
            <w:vAlign w:val="center"/>
          </w:tcPr>
          <w:p w14:paraId="4BE79011">
            <w:pPr>
              <w:spacing w:line="300" w:lineRule="exact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1.电导的宏观参数和物理量及电导的主要基本公式；电导的电导率及其影响因素</w:t>
            </w:r>
            <w:r>
              <w:rPr>
                <w:rFonts w:hint="eastAsia" w:ascii="Times New Roman" w:cs="Times New Roman"/>
                <w:sz w:val="21"/>
                <w:szCs w:val="21"/>
              </w:rPr>
              <w:t>；</w:t>
            </w:r>
            <w:r>
              <w:rPr>
                <w:rFonts w:ascii="Times New Roman" w:cs="Times New Roman"/>
                <w:sz w:val="21"/>
                <w:szCs w:val="21"/>
              </w:rPr>
              <w:t>晶体的能带理论知识。</w:t>
            </w:r>
          </w:p>
        </w:tc>
        <w:tc>
          <w:tcPr>
            <w:tcW w:w="855" w:type="pct"/>
            <w:vMerge w:val="restart"/>
            <w:vAlign w:val="center"/>
          </w:tcPr>
          <w:p w14:paraId="675129B3">
            <w:pPr>
              <w:spacing w:line="3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1.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拓展阅读：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电学性能在材料科学研究中的进展。</w:t>
            </w:r>
          </w:p>
          <w:p w14:paraId="634AB931">
            <w:pPr>
              <w:spacing w:line="3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2.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线上学习：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热稳定的判别方法及其应用</w:t>
            </w:r>
          </w:p>
          <w:p w14:paraId="35EC9482">
            <w:pPr>
              <w:spacing w:line="300" w:lineRule="exact"/>
              <w:rPr>
                <w:rFonts w:hint="eastAsia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3.课后作业：</w:t>
            </w:r>
            <w:r>
              <w:rPr>
                <w:rFonts w:hint="eastAsia" w:ascii="Times New Roman" w:cs="Times New Roman"/>
                <w:sz w:val="21"/>
                <w:szCs w:val="21"/>
              </w:rPr>
              <w:t>完成课后线上作业。</w:t>
            </w:r>
          </w:p>
        </w:tc>
        <w:tc>
          <w:tcPr>
            <w:tcW w:w="604" w:type="pct"/>
            <w:vAlign w:val="center"/>
          </w:tcPr>
          <w:p w14:paraId="500A03A3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hAnsi="宋体"/>
                <w:szCs w:val="24"/>
              </w:rPr>
              <w:t>课程目标</w:t>
            </w:r>
            <w:r>
              <w:rPr>
                <w:rFonts w:hAnsi="宋体"/>
              </w:rPr>
              <w:t>1</w:t>
            </w:r>
            <w:r>
              <w:rPr>
                <w:rFonts w:hint="eastAsia" w:hAnsi="宋体"/>
              </w:rPr>
              <w:t>、2、3</w:t>
            </w:r>
          </w:p>
        </w:tc>
        <w:tc>
          <w:tcPr>
            <w:tcW w:w="1157" w:type="pct"/>
            <w:vMerge w:val="restart"/>
            <w:vAlign w:val="center"/>
          </w:tcPr>
          <w:p w14:paraId="2B93309E">
            <w:pPr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重点：</w:t>
            </w:r>
          </w:p>
          <w:p w14:paraId="48BCE960">
            <w:pPr>
              <w:rPr>
                <w:rFonts w:hAnsi="宋体"/>
                <w:szCs w:val="24"/>
              </w:rPr>
            </w:pPr>
            <w:r>
              <w:rPr>
                <w:rFonts w:hAnsi="宋体"/>
                <w:szCs w:val="24"/>
              </w:rPr>
              <w:t>1.</w:t>
            </w:r>
            <w:r>
              <w:rPr>
                <w:rFonts w:hint="eastAsia" w:hAnsi="宋体"/>
                <w:szCs w:val="24"/>
              </w:rPr>
              <w:t>各种电导的宏观参数和物理量及电导的主要基本公式</w:t>
            </w:r>
          </w:p>
          <w:p w14:paraId="1251E8C3">
            <w:pPr>
              <w:rPr>
                <w:rFonts w:hAnsi="宋体"/>
                <w:szCs w:val="24"/>
              </w:rPr>
            </w:pPr>
            <w:r>
              <w:rPr>
                <w:rFonts w:hAnsi="宋体"/>
                <w:szCs w:val="24"/>
              </w:rPr>
              <w:t>2.</w:t>
            </w:r>
            <w:r>
              <w:rPr>
                <w:rFonts w:hint="eastAsia" w:hAnsi="宋体"/>
                <w:szCs w:val="24"/>
              </w:rPr>
              <w:t>晶体的能带理论知识</w:t>
            </w:r>
          </w:p>
          <w:p w14:paraId="6B5B2EFE">
            <w:pPr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难点：</w:t>
            </w:r>
          </w:p>
          <w:p w14:paraId="1E607284">
            <w:pPr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hAnsi="宋体"/>
                <w:szCs w:val="24"/>
              </w:rPr>
              <w:t>晶体的能带理论知识</w:t>
            </w:r>
          </w:p>
        </w:tc>
        <w:tc>
          <w:tcPr>
            <w:tcW w:w="568" w:type="pct"/>
            <w:vMerge w:val="restart"/>
            <w:vAlign w:val="center"/>
          </w:tcPr>
          <w:p w14:paraId="459DD0F4">
            <w:pPr>
              <w:pStyle w:val="31"/>
              <w:kinsoku w:val="0"/>
              <w:overflowPunct w:val="0"/>
              <w:spacing w:before="99"/>
              <w:ind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1.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讲授法：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能够引导学生学习兴趣，促进学生专业知识提高。</w:t>
            </w:r>
          </w:p>
          <w:p w14:paraId="50F3A7DF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2.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案例教学：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能够促进学生综合素质提高。</w:t>
            </w:r>
          </w:p>
          <w:p w14:paraId="6CA7BFE5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hint="eastAsia" w:ascii="Times New Roman" w:cs="Times New Roman"/>
                <w:b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3.翻转课堂：</w:t>
            </w:r>
            <w:r>
              <w:rPr>
                <w:rFonts w:hint="eastAsia" w:ascii="Times New Roman" w:cs="Times New Roman"/>
                <w:sz w:val="21"/>
                <w:szCs w:val="21"/>
              </w:rPr>
              <w:t>促进学生自主学习，提高综合素质。</w:t>
            </w:r>
          </w:p>
        </w:tc>
        <w:tc>
          <w:tcPr>
            <w:tcW w:w="176" w:type="pct"/>
            <w:vMerge w:val="restart"/>
            <w:vAlign w:val="center"/>
          </w:tcPr>
          <w:p w14:paraId="7A79A63B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Ansi="宋体"/>
                <w:szCs w:val="24"/>
              </w:rPr>
              <w:t>8</w:t>
            </w:r>
          </w:p>
        </w:tc>
      </w:tr>
      <w:tr w14:paraId="5663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74" w:type="pct"/>
            <w:vMerge w:val="continue"/>
            <w:vAlign w:val="center"/>
          </w:tcPr>
          <w:p w14:paraId="7FF653A7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vAlign w:val="center"/>
          </w:tcPr>
          <w:p w14:paraId="27F426E7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5C8541DC">
            <w:pPr>
              <w:spacing w:line="300" w:lineRule="exact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2.导电性的常见测试方法及原理</w:t>
            </w:r>
          </w:p>
        </w:tc>
        <w:tc>
          <w:tcPr>
            <w:tcW w:w="855" w:type="pct"/>
            <w:vMerge w:val="continue"/>
            <w:vAlign w:val="center"/>
          </w:tcPr>
          <w:p w14:paraId="7F3C7BDF">
            <w:pPr>
              <w:spacing w:line="300" w:lineRule="exact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604" w:type="pct"/>
            <w:vAlign w:val="center"/>
          </w:tcPr>
          <w:p w14:paraId="4E6909E1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hAnsi="宋体"/>
                <w:szCs w:val="24"/>
              </w:rPr>
              <w:t>课程目标</w:t>
            </w:r>
            <w:r>
              <w:rPr>
                <w:rFonts w:hAnsi="宋体"/>
              </w:rPr>
              <w:t>1</w:t>
            </w:r>
            <w:r>
              <w:rPr>
                <w:rFonts w:hint="eastAsia" w:hAnsi="宋体"/>
              </w:rPr>
              <w:t>、2、3</w:t>
            </w:r>
          </w:p>
        </w:tc>
        <w:tc>
          <w:tcPr>
            <w:tcW w:w="1157" w:type="pct"/>
            <w:vMerge w:val="continue"/>
            <w:vAlign w:val="center"/>
          </w:tcPr>
          <w:p w14:paraId="2EACDDEC">
            <w:pPr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38CA70C4">
            <w:pPr>
              <w:pStyle w:val="31"/>
              <w:kinsoku w:val="0"/>
              <w:overflowPunct w:val="0"/>
              <w:spacing w:before="99"/>
              <w:ind w:left="70" w:right="60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76" w:type="pct"/>
            <w:vMerge w:val="continue"/>
            <w:vAlign w:val="center"/>
          </w:tcPr>
          <w:p w14:paraId="4954D45D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01DB3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74" w:type="pct"/>
            <w:vMerge w:val="continue"/>
            <w:vAlign w:val="center"/>
          </w:tcPr>
          <w:p w14:paraId="4BD77BB0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vAlign w:val="center"/>
          </w:tcPr>
          <w:p w14:paraId="24B0E8DA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31E1CBD6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3.当前导电材料的发展</w:t>
            </w:r>
          </w:p>
        </w:tc>
        <w:tc>
          <w:tcPr>
            <w:tcW w:w="855" w:type="pct"/>
            <w:vMerge w:val="continue"/>
            <w:vAlign w:val="center"/>
          </w:tcPr>
          <w:p w14:paraId="3E55A603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</w:p>
        </w:tc>
        <w:tc>
          <w:tcPr>
            <w:tcW w:w="604" w:type="pct"/>
            <w:vAlign w:val="center"/>
          </w:tcPr>
          <w:p w14:paraId="76CE8FB0">
            <w:pPr>
              <w:pStyle w:val="32"/>
              <w:spacing w:line="30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  <w:sz w:val="22"/>
              </w:rPr>
              <w:t>1</w:t>
            </w:r>
            <w:r>
              <w:rPr>
                <w:rFonts w:hint="eastAsia" w:hAnsi="宋体"/>
                <w:sz w:val="22"/>
              </w:rPr>
              <w:t>、2、3</w:t>
            </w:r>
          </w:p>
        </w:tc>
        <w:tc>
          <w:tcPr>
            <w:tcW w:w="1157" w:type="pct"/>
            <w:vMerge w:val="continue"/>
            <w:vAlign w:val="center"/>
          </w:tcPr>
          <w:p w14:paraId="6D6B4187">
            <w:pPr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46BDDC24">
            <w:pPr>
              <w:pStyle w:val="31"/>
              <w:kinsoku w:val="0"/>
              <w:overflowPunct w:val="0"/>
              <w:spacing w:before="99"/>
              <w:ind w:left="70" w:right="60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76" w:type="pct"/>
            <w:vMerge w:val="continue"/>
            <w:vAlign w:val="center"/>
          </w:tcPr>
          <w:p w14:paraId="7CB333E8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25595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174" w:type="pct"/>
            <w:vMerge w:val="restart"/>
            <w:vAlign w:val="center"/>
          </w:tcPr>
          <w:p w14:paraId="5287616A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3</w:t>
            </w:r>
          </w:p>
        </w:tc>
        <w:tc>
          <w:tcPr>
            <w:tcW w:w="522" w:type="pct"/>
            <w:vMerge w:val="restart"/>
            <w:vAlign w:val="center"/>
          </w:tcPr>
          <w:p w14:paraId="2EB10244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材料的磁学性能</w:t>
            </w:r>
          </w:p>
        </w:tc>
        <w:tc>
          <w:tcPr>
            <w:tcW w:w="944" w:type="pct"/>
            <w:vAlign w:val="center"/>
          </w:tcPr>
          <w:p w14:paraId="57B0C49E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1.固体物质的各种磁性(抗磁性、顺磁性、铁磁性、反铁磁性、亚铁磁性)的形成机理及宏观表现；磁性表征参量、各类磁性物质的内部相互作用；磁性材料在交变磁场中的磁化过程及宏观磁性；</w:t>
            </w:r>
          </w:p>
        </w:tc>
        <w:tc>
          <w:tcPr>
            <w:tcW w:w="855" w:type="pct"/>
            <w:vMerge w:val="restart"/>
            <w:vAlign w:val="center"/>
          </w:tcPr>
          <w:p w14:paraId="4CBA54E3">
            <w:pPr>
              <w:spacing w:line="300" w:lineRule="exact"/>
              <w:rPr>
                <w:rFonts w:ascii="Times New Roman" w:cs="Times New Roman"/>
                <w:b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1.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拓展阅读：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磁学性能在材料科学研究中的进展。</w:t>
            </w:r>
          </w:p>
          <w:p w14:paraId="6C7F83B1">
            <w:pPr>
              <w:spacing w:line="3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2.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小组作业：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画出矩磁材料、软磁材料以及硬磁材料的磁滞回线。</w:t>
            </w:r>
          </w:p>
          <w:p w14:paraId="7483C011">
            <w:pPr>
              <w:spacing w:line="300" w:lineRule="exact"/>
              <w:rPr>
                <w:rFonts w:hint="eastAsia" w:ascii="Times New Roman" w:cs="Times New Roman"/>
                <w:b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3.课后作业：</w:t>
            </w:r>
            <w:r>
              <w:rPr>
                <w:rFonts w:hint="eastAsia" w:ascii="Times New Roman" w:cs="Times New Roman"/>
                <w:sz w:val="21"/>
                <w:szCs w:val="21"/>
              </w:rPr>
              <w:t>完成课后线上作业。</w:t>
            </w:r>
          </w:p>
          <w:p w14:paraId="3373BA0A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</w:p>
        </w:tc>
        <w:tc>
          <w:tcPr>
            <w:tcW w:w="604" w:type="pct"/>
            <w:vAlign w:val="center"/>
          </w:tcPr>
          <w:p w14:paraId="79B4E6E6">
            <w:pPr>
              <w:pStyle w:val="32"/>
              <w:spacing w:line="30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  <w:sz w:val="22"/>
              </w:rPr>
              <w:t>1</w:t>
            </w:r>
            <w:r>
              <w:rPr>
                <w:rFonts w:hint="eastAsia" w:hAnsi="宋体"/>
                <w:sz w:val="22"/>
              </w:rPr>
              <w:t>、2、3</w:t>
            </w:r>
          </w:p>
        </w:tc>
        <w:tc>
          <w:tcPr>
            <w:tcW w:w="1157" w:type="pct"/>
            <w:vMerge w:val="restart"/>
            <w:vAlign w:val="center"/>
          </w:tcPr>
          <w:p w14:paraId="30702AA8">
            <w:pPr>
              <w:snapToGrid w:val="0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重点：</w:t>
            </w:r>
          </w:p>
          <w:p w14:paraId="5A214AAB">
            <w:pPr>
              <w:snapToGrid w:val="0"/>
              <w:rPr>
                <w:rFonts w:hAnsi="宋体"/>
                <w:szCs w:val="24"/>
              </w:rPr>
            </w:pPr>
            <w:r>
              <w:rPr>
                <w:rFonts w:hAnsi="宋体"/>
                <w:szCs w:val="24"/>
              </w:rPr>
              <w:t>1.</w:t>
            </w:r>
            <w:r>
              <w:rPr>
                <w:rFonts w:hint="eastAsia" w:hAnsi="宋体"/>
                <w:szCs w:val="24"/>
              </w:rPr>
              <w:t>固体物质的各种磁性</w:t>
            </w:r>
            <w:r>
              <w:rPr>
                <w:rFonts w:hAnsi="宋体"/>
                <w:szCs w:val="24"/>
              </w:rPr>
              <w:t>(</w:t>
            </w:r>
            <w:r>
              <w:rPr>
                <w:rFonts w:hint="eastAsia" w:hAnsi="宋体"/>
                <w:szCs w:val="24"/>
              </w:rPr>
              <w:t>抗磁性、顺磁性、铁磁性、反铁磁性、亚铁磁性</w:t>
            </w:r>
            <w:r>
              <w:rPr>
                <w:rFonts w:hAnsi="宋体"/>
                <w:szCs w:val="24"/>
              </w:rPr>
              <w:t>)</w:t>
            </w:r>
            <w:r>
              <w:rPr>
                <w:rFonts w:hint="eastAsia" w:hAnsi="宋体"/>
                <w:szCs w:val="24"/>
              </w:rPr>
              <w:t>的形成机理及宏观表现</w:t>
            </w:r>
          </w:p>
          <w:p w14:paraId="4A3A6194">
            <w:pPr>
              <w:snapToGrid w:val="0"/>
              <w:rPr>
                <w:rFonts w:hAnsi="宋体"/>
                <w:szCs w:val="24"/>
              </w:rPr>
            </w:pPr>
            <w:r>
              <w:rPr>
                <w:rFonts w:hAnsi="宋体"/>
                <w:szCs w:val="24"/>
              </w:rPr>
              <w:t>2.</w:t>
            </w:r>
            <w:r>
              <w:rPr>
                <w:rFonts w:hint="eastAsia" w:hAnsi="宋体"/>
                <w:szCs w:val="24"/>
              </w:rPr>
              <w:t>磁畴的概念。</w:t>
            </w:r>
          </w:p>
          <w:p w14:paraId="3CBE5457">
            <w:pPr>
              <w:snapToGrid w:val="0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难点：</w:t>
            </w:r>
          </w:p>
          <w:p w14:paraId="2C0AFA85">
            <w:pPr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hAnsi="宋体"/>
                <w:szCs w:val="24"/>
              </w:rPr>
              <w:t>磁畴的概念及磁畴结构</w:t>
            </w:r>
          </w:p>
        </w:tc>
        <w:tc>
          <w:tcPr>
            <w:tcW w:w="568" w:type="pct"/>
            <w:vMerge w:val="restart"/>
            <w:vAlign w:val="center"/>
          </w:tcPr>
          <w:p w14:paraId="58EA5F2E">
            <w:pPr>
              <w:pStyle w:val="31"/>
              <w:kinsoku w:val="0"/>
              <w:overflowPunct w:val="0"/>
              <w:spacing w:before="99"/>
              <w:ind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1.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讲授法：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能够引导学生学习兴趣，促进学生专业知识提高。</w:t>
            </w:r>
          </w:p>
          <w:p w14:paraId="43B8BAE1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2.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案例教学：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能够促进学生综合素质提高。</w:t>
            </w:r>
          </w:p>
          <w:p w14:paraId="3C39889F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hint="eastAsia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3.翻转课堂：</w:t>
            </w:r>
            <w:r>
              <w:rPr>
                <w:rFonts w:hint="eastAsia" w:ascii="Times New Roman" w:cs="Times New Roman"/>
                <w:sz w:val="21"/>
                <w:szCs w:val="21"/>
              </w:rPr>
              <w:t>促进学生自主学习，提高综合素质。</w:t>
            </w:r>
          </w:p>
        </w:tc>
        <w:tc>
          <w:tcPr>
            <w:tcW w:w="176" w:type="pct"/>
            <w:vMerge w:val="restart"/>
            <w:vAlign w:val="center"/>
          </w:tcPr>
          <w:p w14:paraId="063B2078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Ansi="宋体"/>
                <w:szCs w:val="24"/>
              </w:rPr>
              <w:t>8</w:t>
            </w:r>
          </w:p>
        </w:tc>
      </w:tr>
      <w:tr w14:paraId="7069D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74" w:type="pct"/>
            <w:vMerge w:val="continue"/>
            <w:vAlign w:val="center"/>
          </w:tcPr>
          <w:p w14:paraId="686AC454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vAlign w:val="center"/>
          </w:tcPr>
          <w:p w14:paraId="62FAB656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4731E9B1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2.磁性材料磁滞回线和磁化曲线测定</w:t>
            </w:r>
          </w:p>
        </w:tc>
        <w:tc>
          <w:tcPr>
            <w:tcW w:w="855" w:type="pct"/>
            <w:vMerge w:val="continue"/>
            <w:vAlign w:val="center"/>
          </w:tcPr>
          <w:p w14:paraId="60DF0D15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</w:p>
        </w:tc>
        <w:tc>
          <w:tcPr>
            <w:tcW w:w="604" w:type="pct"/>
            <w:vAlign w:val="center"/>
          </w:tcPr>
          <w:p w14:paraId="6805BA0A">
            <w:pPr>
              <w:pStyle w:val="32"/>
              <w:spacing w:line="30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  <w:sz w:val="22"/>
              </w:rPr>
              <w:t>1</w:t>
            </w:r>
            <w:r>
              <w:rPr>
                <w:rFonts w:hint="eastAsia" w:hAnsi="宋体"/>
                <w:sz w:val="22"/>
              </w:rPr>
              <w:t>、2、3</w:t>
            </w:r>
          </w:p>
        </w:tc>
        <w:tc>
          <w:tcPr>
            <w:tcW w:w="1157" w:type="pct"/>
            <w:vMerge w:val="continue"/>
            <w:vAlign w:val="center"/>
          </w:tcPr>
          <w:p w14:paraId="3EBF028D">
            <w:pPr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40D1AACC">
            <w:pPr>
              <w:pStyle w:val="31"/>
              <w:kinsoku w:val="0"/>
              <w:overflowPunct w:val="0"/>
              <w:spacing w:before="99"/>
              <w:ind w:left="70" w:right="60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76" w:type="pct"/>
            <w:vMerge w:val="continue"/>
            <w:vAlign w:val="center"/>
          </w:tcPr>
          <w:p w14:paraId="46922A34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26354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174" w:type="pct"/>
            <w:vMerge w:val="continue"/>
            <w:vAlign w:val="center"/>
          </w:tcPr>
          <w:p w14:paraId="1E110F79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vAlign w:val="center"/>
          </w:tcPr>
          <w:p w14:paraId="0F8B4810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6D583CA4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3.磁性材料及其应用。</w:t>
            </w:r>
          </w:p>
        </w:tc>
        <w:tc>
          <w:tcPr>
            <w:tcW w:w="855" w:type="pct"/>
            <w:vMerge w:val="continue"/>
            <w:vAlign w:val="center"/>
          </w:tcPr>
          <w:p w14:paraId="6D1B4D92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</w:p>
        </w:tc>
        <w:tc>
          <w:tcPr>
            <w:tcW w:w="604" w:type="pct"/>
            <w:vAlign w:val="center"/>
          </w:tcPr>
          <w:p w14:paraId="4B7BCCC1">
            <w:pPr>
              <w:pStyle w:val="32"/>
              <w:spacing w:line="30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  <w:sz w:val="22"/>
              </w:rPr>
              <w:t>1</w:t>
            </w:r>
            <w:r>
              <w:rPr>
                <w:rFonts w:hint="eastAsia" w:hAnsi="宋体"/>
                <w:sz w:val="22"/>
              </w:rPr>
              <w:t>、2、3</w:t>
            </w:r>
          </w:p>
        </w:tc>
        <w:tc>
          <w:tcPr>
            <w:tcW w:w="1157" w:type="pct"/>
            <w:vMerge w:val="continue"/>
            <w:vAlign w:val="center"/>
          </w:tcPr>
          <w:p w14:paraId="676AE58C">
            <w:pPr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0AF5191C">
            <w:pPr>
              <w:pStyle w:val="31"/>
              <w:kinsoku w:val="0"/>
              <w:overflowPunct w:val="0"/>
              <w:spacing w:before="99"/>
              <w:ind w:left="70" w:right="60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76" w:type="pct"/>
            <w:vMerge w:val="continue"/>
            <w:vAlign w:val="center"/>
          </w:tcPr>
          <w:p w14:paraId="77D0F433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7EC3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4" w:type="pct"/>
            <w:vMerge w:val="restart"/>
            <w:vAlign w:val="center"/>
          </w:tcPr>
          <w:p w14:paraId="5C5A57F1">
            <w:pPr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4</w:t>
            </w:r>
          </w:p>
        </w:tc>
        <w:tc>
          <w:tcPr>
            <w:tcW w:w="522" w:type="pct"/>
            <w:vMerge w:val="restart"/>
            <w:vAlign w:val="center"/>
          </w:tcPr>
          <w:p w14:paraId="10EC965D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材料的光学性能</w:t>
            </w:r>
          </w:p>
        </w:tc>
        <w:tc>
          <w:tcPr>
            <w:tcW w:w="944" w:type="pct"/>
            <w:vAlign w:val="center"/>
          </w:tcPr>
          <w:p w14:paraId="5F513125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1.光的波粒二象性，光传播电磁理论、反射、光的吸收和色散、晶体的双折射、介质的光散射等各种光现象的物理本质；光和固体的相互作用，影响材料光学性能的各种因素。</w:t>
            </w:r>
          </w:p>
        </w:tc>
        <w:tc>
          <w:tcPr>
            <w:tcW w:w="855" w:type="pct"/>
            <w:vMerge w:val="restart"/>
            <w:vAlign w:val="center"/>
          </w:tcPr>
          <w:p w14:paraId="746A725E">
            <w:pPr>
              <w:spacing w:line="3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1.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拓展阅读：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光学性能在材料科学研究中的进展。</w:t>
            </w:r>
          </w:p>
          <w:p w14:paraId="19EE63CB">
            <w:pPr>
              <w:pStyle w:val="32"/>
              <w:spacing w:line="300" w:lineRule="exact"/>
              <w:ind w:firstLine="0" w:firstLineChars="0"/>
              <w:rPr>
                <w:bCs/>
                <w:szCs w:val="21"/>
              </w:rPr>
            </w:pPr>
            <w:r>
              <w:rPr>
                <w:b/>
                <w:szCs w:val="21"/>
              </w:rPr>
              <w:t>2.</w:t>
            </w:r>
            <w:r>
              <w:rPr>
                <w:rFonts w:hint="eastAsia"/>
                <w:b/>
                <w:szCs w:val="21"/>
              </w:rPr>
              <w:t>线上学习：</w:t>
            </w:r>
            <w:r>
              <w:rPr>
                <w:rFonts w:hint="eastAsia"/>
                <w:bCs/>
                <w:szCs w:val="21"/>
              </w:rPr>
              <w:t>激光的产生条件及其在材料科学邻域的应用。</w:t>
            </w:r>
          </w:p>
          <w:p w14:paraId="48D73D98">
            <w:pPr>
              <w:pStyle w:val="32"/>
              <w:spacing w:line="300" w:lineRule="exact"/>
              <w:ind w:firstLine="0" w:firstLineChars="0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3.课后作业：</w:t>
            </w:r>
            <w:r>
              <w:rPr>
                <w:rFonts w:hint="eastAsia"/>
                <w:szCs w:val="21"/>
              </w:rPr>
              <w:t>完成课后线上作业。</w:t>
            </w:r>
          </w:p>
        </w:tc>
        <w:tc>
          <w:tcPr>
            <w:tcW w:w="604" w:type="pct"/>
            <w:vAlign w:val="center"/>
          </w:tcPr>
          <w:p w14:paraId="0462D24E">
            <w:pPr>
              <w:pStyle w:val="32"/>
              <w:spacing w:line="30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  <w:sz w:val="22"/>
              </w:rPr>
              <w:t>1</w:t>
            </w:r>
            <w:r>
              <w:rPr>
                <w:rFonts w:hint="eastAsia" w:hAnsi="宋体"/>
                <w:sz w:val="22"/>
              </w:rPr>
              <w:t>、2、3</w:t>
            </w:r>
          </w:p>
        </w:tc>
        <w:tc>
          <w:tcPr>
            <w:tcW w:w="1157" w:type="pct"/>
            <w:vMerge w:val="restart"/>
            <w:vAlign w:val="center"/>
          </w:tcPr>
          <w:p w14:paraId="2C46B69D">
            <w:pPr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重点：</w:t>
            </w:r>
          </w:p>
          <w:p w14:paraId="2FD87549">
            <w:pPr>
              <w:rPr>
                <w:rFonts w:hAnsi="宋体"/>
                <w:szCs w:val="24"/>
              </w:rPr>
            </w:pPr>
            <w:r>
              <w:rPr>
                <w:rFonts w:hAnsi="宋体"/>
                <w:szCs w:val="24"/>
              </w:rPr>
              <w:t>1.</w:t>
            </w:r>
            <w:r>
              <w:rPr>
                <w:rFonts w:hint="eastAsia" w:hAnsi="宋体"/>
                <w:szCs w:val="24"/>
              </w:rPr>
              <w:t>光的吸收和色散、晶体的双折射、介质的光散射等各种光现象的物理本质。</w:t>
            </w:r>
          </w:p>
          <w:p w14:paraId="1E18399A">
            <w:pPr>
              <w:rPr>
                <w:rFonts w:hAnsi="宋体"/>
                <w:szCs w:val="24"/>
              </w:rPr>
            </w:pPr>
            <w:r>
              <w:rPr>
                <w:rFonts w:hAnsi="宋体"/>
                <w:szCs w:val="24"/>
              </w:rPr>
              <w:t>2.</w:t>
            </w:r>
            <w:r>
              <w:rPr>
                <w:rFonts w:hint="eastAsia" w:hAnsi="宋体"/>
                <w:szCs w:val="24"/>
              </w:rPr>
              <w:t>了解影响材料光学性能的各种因素。</w:t>
            </w:r>
          </w:p>
          <w:p w14:paraId="226698BF">
            <w:pPr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难点：</w:t>
            </w:r>
          </w:p>
          <w:p w14:paraId="5E2AA4E5">
            <w:pPr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hAnsi="宋体"/>
                <w:szCs w:val="24"/>
              </w:rPr>
              <w:t>材料透光性机理的理解</w:t>
            </w:r>
          </w:p>
        </w:tc>
        <w:tc>
          <w:tcPr>
            <w:tcW w:w="568" w:type="pct"/>
            <w:vMerge w:val="restart"/>
            <w:vAlign w:val="center"/>
          </w:tcPr>
          <w:p w14:paraId="2535EE1A">
            <w:pPr>
              <w:pStyle w:val="31"/>
              <w:kinsoku w:val="0"/>
              <w:overflowPunct w:val="0"/>
              <w:spacing w:before="99"/>
              <w:ind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1.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讲授法：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能够引导学生学习兴趣，促进学生专业知识提高。</w:t>
            </w:r>
          </w:p>
          <w:p w14:paraId="3CABACD7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2.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案例教学：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能够促进学生综合素质提高。</w:t>
            </w:r>
          </w:p>
          <w:p w14:paraId="2504C5A0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hint="eastAsia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3.翻转课堂：</w:t>
            </w:r>
            <w:r>
              <w:rPr>
                <w:rFonts w:hint="eastAsia" w:ascii="Times New Roman" w:cs="Times New Roman"/>
                <w:sz w:val="21"/>
                <w:szCs w:val="21"/>
              </w:rPr>
              <w:t>促进学生自主学习，提高综合素质。</w:t>
            </w:r>
          </w:p>
        </w:tc>
        <w:tc>
          <w:tcPr>
            <w:tcW w:w="176" w:type="pct"/>
            <w:vMerge w:val="restart"/>
            <w:vAlign w:val="center"/>
          </w:tcPr>
          <w:p w14:paraId="431E5C33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</w:tr>
      <w:tr w14:paraId="1AEE9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74" w:type="pct"/>
            <w:vMerge w:val="continue"/>
            <w:vAlign w:val="center"/>
          </w:tcPr>
          <w:p w14:paraId="05C8AD45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vAlign w:val="center"/>
          </w:tcPr>
          <w:p w14:paraId="7EABE5B6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2398796B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2.材料光学性能的基本表征方法。</w:t>
            </w:r>
          </w:p>
        </w:tc>
        <w:tc>
          <w:tcPr>
            <w:tcW w:w="855" w:type="pct"/>
            <w:vMerge w:val="continue"/>
            <w:vAlign w:val="center"/>
          </w:tcPr>
          <w:p w14:paraId="2B76D2EB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</w:p>
        </w:tc>
        <w:tc>
          <w:tcPr>
            <w:tcW w:w="604" w:type="pct"/>
            <w:vAlign w:val="center"/>
          </w:tcPr>
          <w:p w14:paraId="08863B12">
            <w:pPr>
              <w:pStyle w:val="32"/>
              <w:spacing w:line="30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  <w:sz w:val="22"/>
              </w:rPr>
              <w:t>1</w:t>
            </w:r>
            <w:r>
              <w:rPr>
                <w:rFonts w:hint="eastAsia" w:hAnsi="宋体"/>
                <w:sz w:val="22"/>
              </w:rPr>
              <w:t>、2、3</w:t>
            </w:r>
          </w:p>
        </w:tc>
        <w:tc>
          <w:tcPr>
            <w:tcW w:w="1157" w:type="pct"/>
            <w:vMerge w:val="continue"/>
            <w:vAlign w:val="center"/>
          </w:tcPr>
          <w:p w14:paraId="2094CFC6">
            <w:pPr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07F3952E">
            <w:pPr>
              <w:pStyle w:val="31"/>
              <w:kinsoku w:val="0"/>
              <w:overflowPunct w:val="0"/>
              <w:spacing w:before="99"/>
              <w:ind w:left="70" w:right="60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76" w:type="pct"/>
            <w:vMerge w:val="continue"/>
            <w:vAlign w:val="center"/>
          </w:tcPr>
          <w:p w14:paraId="26AECCAB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3ABD5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74" w:type="pct"/>
            <w:vMerge w:val="continue"/>
            <w:vAlign w:val="center"/>
          </w:tcPr>
          <w:p w14:paraId="7BDC6135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vAlign w:val="center"/>
          </w:tcPr>
          <w:p w14:paraId="508A1DE5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5DA9CCE8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3.光纤材料、激光晶体材料及光存储材料等光学材料的发展。</w:t>
            </w:r>
          </w:p>
        </w:tc>
        <w:tc>
          <w:tcPr>
            <w:tcW w:w="855" w:type="pct"/>
            <w:vMerge w:val="continue"/>
            <w:vAlign w:val="center"/>
          </w:tcPr>
          <w:p w14:paraId="5626BDA4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</w:p>
        </w:tc>
        <w:tc>
          <w:tcPr>
            <w:tcW w:w="604" w:type="pct"/>
            <w:vAlign w:val="center"/>
          </w:tcPr>
          <w:p w14:paraId="274622DB">
            <w:pPr>
              <w:pStyle w:val="32"/>
              <w:spacing w:line="30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  <w:sz w:val="22"/>
              </w:rPr>
              <w:t>1</w:t>
            </w:r>
            <w:r>
              <w:rPr>
                <w:rFonts w:hint="eastAsia" w:hAnsi="宋体"/>
                <w:sz w:val="22"/>
              </w:rPr>
              <w:t>、2、3</w:t>
            </w:r>
          </w:p>
        </w:tc>
        <w:tc>
          <w:tcPr>
            <w:tcW w:w="1157" w:type="pct"/>
            <w:vMerge w:val="continue"/>
            <w:vAlign w:val="center"/>
          </w:tcPr>
          <w:p w14:paraId="48B40313">
            <w:pPr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3CE6CFBC">
            <w:pPr>
              <w:pStyle w:val="31"/>
              <w:kinsoku w:val="0"/>
              <w:overflowPunct w:val="0"/>
              <w:spacing w:before="99"/>
              <w:ind w:left="70" w:right="60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76" w:type="pct"/>
            <w:vMerge w:val="continue"/>
            <w:vAlign w:val="center"/>
          </w:tcPr>
          <w:p w14:paraId="7DBC4559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589EB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74" w:type="pct"/>
            <w:vMerge w:val="restart"/>
            <w:vAlign w:val="center"/>
          </w:tcPr>
          <w:p w14:paraId="3AD6DB00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5</w:t>
            </w:r>
          </w:p>
        </w:tc>
        <w:tc>
          <w:tcPr>
            <w:tcW w:w="522" w:type="pct"/>
            <w:vMerge w:val="restart"/>
            <w:vAlign w:val="center"/>
          </w:tcPr>
          <w:p w14:paraId="5F9C5A27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材料的弹性及内耗分析</w:t>
            </w:r>
          </w:p>
        </w:tc>
        <w:tc>
          <w:tcPr>
            <w:tcW w:w="944" w:type="pct"/>
            <w:vAlign w:val="center"/>
          </w:tcPr>
          <w:p w14:paraId="0C3B6B21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1.材料的弹性的物理本质、弹性模量的各向异性及温度效应、影响材料弹性模量的主要因素，内耗产生的机制。</w:t>
            </w:r>
          </w:p>
        </w:tc>
        <w:tc>
          <w:tcPr>
            <w:tcW w:w="855" w:type="pct"/>
            <w:vMerge w:val="restart"/>
            <w:vAlign w:val="center"/>
          </w:tcPr>
          <w:p w14:paraId="2C90BAF4">
            <w:pPr>
              <w:spacing w:line="3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1.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拓展阅读：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材料弹性能在材料科学研究中的进展。</w:t>
            </w:r>
          </w:p>
          <w:p w14:paraId="59D50CAF">
            <w:pPr>
              <w:pStyle w:val="32"/>
              <w:spacing w:line="300" w:lineRule="exact"/>
              <w:ind w:firstLine="0" w:firstLineChars="0"/>
              <w:rPr>
                <w:bCs/>
                <w:szCs w:val="21"/>
              </w:rPr>
            </w:pPr>
            <w:r>
              <w:rPr>
                <w:b/>
                <w:szCs w:val="21"/>
              </w:rPr>
              <w:t>2.</w:t>
            </w:r>
            <w:r>
              <w:rPr>
                <w:rFonts w:hint="eastAsia"/>
                <w:b/>
                <w:szCs w:val="21"/>
              </w:rPr>
              <w:t>线上学习：</w:t>
            </w:r>
            <w:r>
              <w:rPr>
                <w:rFonts w:hint="eastAsia"/>
                <w:bCs/>
                <w:szCs w:val="21"/>
              </w:rPr>
              <w:t>内耗的分类及产生机理。</w:t>
            </w:r>
          </w:p>
          <w:p w14:paraId="5E89861C">
            <w:pPr>
              <w:pStyle w:val="32"/>
              <w:spacing w:line="300" w:lineRule="exact"/>
              <w:ind w:firstLine="0" w:firstLineChars="0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3.课后作业：</w:t>
            </w:r>
            <w:r>
              <w:rPr>
                <w:rFonts w:hint="eastAsia"/>
                <w:szCs w:val="21"/>
              </w:rPr>
              <w:t>完成课后线上作业。</w:t>
            </w:r>
          </w:p>
        </w:tc>
        <w:tc>
          <w:tcPr>
            <w:tcW w:w="604" w:type="pct"/>
            <w:vAlign w:val="center"/>
          </w:tcPr>
          <w:p w14:paraId="5CEAD80E">
            <w:pPr>
              <w:pStyle w:val="32"/>
              <w:spacing w:line="30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 w:hAnsi="宋体"/>
                <w:sz w:val="22"/>
              </w:rPr>
              <w:t>课程目标</w:t>
            </w:r>
            <w:r>
              <w:rPr>
                <w:rFonts w:hAnsi="宋体"/>
                <w:sz w:val="22"/>
              </w:rPr>
              <w:t>1</w:t>
            </w:r>
            <w:r>
              <w:rPr>
                <w:rFonts w:hint="eastAsia" w:hAnsi="宋体"/>
                <w:sz w:val="22"/>
              </w:rPr>
              <w:t>、2、3</w:t>
            </w:r>
          </w:p>
        </w:tc>
        <w:tc>
          <w:tcPr>
            <w:tcW w:w="1157" w:type="pct"/>
            <w:vMerge w:val="restart"/>
            <w:vAlign w:val="center"/>
          </w:tcPr>
          <w:p w14:paraId="46B45457">
            <w:pPr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重点：</w:t>
            </w:r>
          </w:p>
          <w:p w14:paraId="0F14765C">
            <w:pPr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弹性的物理本质及影响材料弹性模量的主要因素</w:t>
            </w:r>
          </w:p>
          <w:p w14:paraId="1F0D585A">
            <w:pPr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难点：</w:t>
            </w:r>
          </w:p>
          <w:p w14:paraId="386F82E7">
            <w:pPr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hAnsi="宋体"/>
                <w:szCs w:val="24"/>
              </w:rPr>
              <w:t>内耗产生的机制</w:t>
            </w:r>
          </w:p>
        </w:tc>
        <w:tc>
          <w:tcPr>
            <w:tcW w:w="568" w:type="pct"/>
            <w:vMerge w:val="restart"/>
            <w:vAlign w:val="center"/>
          </w:tcPr>
          <w:p w14:paraId="0B71E4C8">
            <w:pPr>
              <w:pStyle w:val="31"/>
              <w:kinsoku w:val="0"/>
              <w:overflowPunct w:val="0"/>
              <w:spacing w:before="99"/>
              <w:ind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1.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讲授法：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能够引导学生学习兴趣，促进学生专业知识提高。</w:t>
            </w:r>
          </w:p>
          <w:p w14:paraId="7D86FFF8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2.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案例教学：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能够促进学生综合素质提高。</w:t>
            </w:r>
          </w:p>
          <w:p w14:paraId="28FDAE63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hint="eastAsia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3.翻转课堂：</w:t>
            </w:r>
            <w:r>
              <w:rPr>
                <w:rFonts w:hint="eastAsia" w:ascii="Times New Roman" w:cs="Times New Roman"/>
                <w:sz w:val="21"/>
                <w:szCs w:val="21"/>
              </w:rPr>
              <w:t>促进学生自主学习，提高综合素质。</w:t>
            </w:r>
          </w:p>
        </w:tc>
        <w:tc>
          <w:tcPr>
            <w:tcW w:w="176" w:type="pct"/>
            <w:vMerge w:val="restart"/>
            <w:vAlign w:val="center"/>
          </w:tcPr>
          <w:p w14:paraId="2717D6F8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Ansi="宋体"/>
                <w:szCs w:val="24"/>
              </w:rPr>
              <w:t>6</w:t>
            </w:r>
          </w:p>
        </w:tc>
      </w:tr>
      <w:tr w14:paraId="0591E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174" w:type="pct"/>
            <w:vMerge w:val="continue"/>
            <w:vAlign w:val="center"/>
          </w:tcPr>
          <w:p w14:paraId="074D0E3B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vAlign w:val="center"/>
          </w:tcPr>
          <w:p w14:paraId="3227B06C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37A7E18C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2.弹性模量的测量</w:t>
            </w:r>
            <w:r>
              <w:rPr>
                <w:rFonts w:hint="eastAsia"/>
                <w:szCs w:val="21"/>
              </w:rPr>
              <w:t>及方法</w:t>
            </w:r>
            <w:r>
              <w:rPr>
                <w:szCs w:val="21"/>
              </w:rPr>
              <w:t>。</w:t>
            </w:r>
          </w:p>
        </w:tc>
        <w:tc>
          <w:tcPr>
            <w:tcW w:w="855" w:type="pct"/>
            <w:vMerge w:val="continue"/>
            <w:vAlign w:val="center"/>
          </w:tcPr>
          <w:p w14:paraId="3E84882F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</w:p>
        </w:tc>
        <w:tc>
          <w:tcPr>
            <w:tcW w:w="604" w:type="pct"/>
            <w:vAlign w:val="center"/>
          </w:tcPr>
          <w:p w14:paraId="7D69421F">
            <w:pPr>
              <w:pStyle w:val="32"/>
              <w:spacing w:line="30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  <w:sz w:val="22"/>
              </w:rPr>
              <w:t>1</w:t>
            </w:r>
            <w:r>
              <w:rPr>
                <w:rFonts w:hint="eastAsia" w:hAnsi="宋体"/>
                <w:sz w:val="22"/>
              </w:rPr>
              <w:t>、2、3</w:t>
            </w:r>
          </w:p>
        </w:tc>
        <w:tc>
          <w:tcPr>
            <w:tcW w:w="1157" w:type="pct"/>
            <w:vMerge w:val="continue"/>
            <w:vAlign w:val="center"/>
          </w:tcPr>
          <w:p w14:paraId="4A1A914D">
            <w:pPr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7845227E">
            <w:pPr>
              <w:pStyle w:val="31"/>
              <w:kinsoku w:val="0"/>
              <w:overflowPunct w:val="0"/>
              <w:spacing w:before="99"/>
              <w:ind w:left="70" w:right="60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76" w:type="pct"/>
            <w:vMerge w:val="continue"/>
            <w:vAlign w:val="center"/>
          </w:tcPr>
          <w:p w14:paraId="0F492EB7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1F303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74" w:type="pct"/>
            <w:vMerge w:val="continue"/>
            <w:vAlign w:val="center"/>
          </w:tcPr>
          <w:p w14:paraId="40A8C9E8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vAlign w:val="center"/>
          </w:tcPr>
          <w:p w14:paraId="2656987B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6324804C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3.弹性模量的应用，内耗分析的应用。</w:t>
            </w:r>
          </w:p>
        </w:tc>
        <w:tc>
          <w:tcPr>
            <w:tcW w:w="855" w:type="pct"/>
            <w:vMerge w:val="continue"/>
            <w:vAlign w:val="center"/>
          </w:tcPr>
          <w:p w14:paraId="0A5AC6BE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</w:p>
        </w:tc>
        <w:tc>
          <w:tcPr>
            <w:tcW w:w="604" w:type="pct"/>
            <w:vAlign w:val="center"/>
          </w:tcPr>
          <w:p w14:paraId="57872669">
            <w:pPr>
              <w:pStyle w:val="32"/>
              <w:spacing w:line="30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  <w:sz w:val="22"/>
              </w:rPr>
              <w:t>1</w:t>
            </w:r>
            <w:r>
              <w:rPr>
                <w:rFonts w:hint="eastAsia" w:hAnsi="宋体"/>
                <w:sz w:val="22"/>
              </w:rPr>
              <w:t>、2、3</w:t>
            </w:r>
          </w:p>
        </w:tc>
        <w:tc>
          <w:tcPr>
            <w:tcW w:w="1157" w:type="pct"/>
            <w:vMerge w:val="continue"/>
            <w:vAlign w:val="center"/>
          </w:tcPr>
          <w:p w14:paraId="76D97D9B">
            <w:pPr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10B49FFE">
            <w:pPr>
              <w:pStyle w:val="31"/>
              <w:kinsoku w:val="0"/>
              <w:overflowPunct w:val="0"/>
              <w:spacing w:before="99"/>
              <w:ind w:left="70" w:right="60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76" w:type="pct"/>
            <w:vMerge w:val="continue"/>
            <w:vAlign w:val="center"/>
          </w:tcPr>
          <w:p w14:paraId="7C6A9056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1E7A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174" w:type="pct"/>
            <w:vAlign w:val="center"/>
          </w:tcPr>
          <w:p w14:paraId="772C3F1C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6</w:t>
            </w:r>
          </w:p>
        </w:tc>
        <w:tc>
          <w:tcPr>
            <w:tcW w:w="522" w:type="pct"/>
            <w:vAlign w:val="center"/>
          </w:tcPr>
          <w:p w14:paraId="777E0F4D">
            <w:pPr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核物理检测方法及其应用</w:t>
            </w:r>
          </w:p>
        </w:tc>
        <w:tc>
          <w:tcPr>
            <w:tcW w:w="944" w:type="pct"/>
            <w:vAlign w:val="center"/>
          </w:tcPr>
          <w:p w14:paraId="3A1E002C">
            <w:pPr>
              <w:pStyle w:val="32"/>
              <w:spacing w:line="300" w:lineRule="exact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穆斯堡尔效应、核磁共振、正电子湮没及中子散射等现代物理方法</w:t>
            </w:r>
          </w:p>
        </w:tc>
        <w:tc>
          <w:tcPr>
            <w:tcW w:w="855" w:type="pct"/>
            <w:vAlign w:val="center"/>
          </w:tcPr>
          <w:p w14:paraId="746720C0">
            <w:pPr>
              <w:spacing w:line="300" w:lineRule="exact"/>
              <w:jc w:val="both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1.拓展阅读：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核材料科学</w:t>
            </w:r>
          </w:p>
          <w:p w14:paraId="2BF973EC">
            <w:pPr>
              <w:spacing w:line="300" w:lineRule="exact"/>
              <w:jc w:val="both"/>
              <w:rPr>
                <w:rFonts w:hint="eastAsia" w:ascii="Times New Roman" w:cs="Times New Roman"/>
                <w:bCs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2.课后作业：</w:t>
            </w:r>
            <w:r>
              <w:rPr>
                <w:rFonts w:hint="eastAsia" w:ascii="Times New Roman" w:cs="Times New Roman"/>
                <w:sz w:val="21"/>
                <w:szCs w:val="21"/>
              </w:rPr>
              <w:t>完成课后线上作业。</w:t>
            </w:r>
          </w:p>
        </w:tc>
        <w:tc>
          <w:tcPr>
            <w:tcW w:w="604" w:type="pct"/>
            <w:vAlign w:val="center"/>
          </w:tcPr>
          <w:p w14:paraId="1BE0F9B5">
            <w:pPr>
              <w:pStyle w:val="32"/>
              <w:spacing w:line="30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 w:hAnsi="宋体"/>
                <w:sz w:val="22"/>
              </w:rPr>
              <w:t>课程目标</w:t>
            </w:r>
            <w:r>
              <w:rPr>
                <w:rFonts w:hAnsi="宋体"/>
                <w:sz w:val="22"/>
              </w:rPr>
              <w:t>1</w:t>
            </w:r>
            <w:r>
              <w:rPr>
                <w:rFonts w:hint="eastAsia" w:hAnsi="宋体"/>
                <w:sz w:val="22"/>
              </w:rPr>
              <w:t>、2、3</w:t>
            </w:r>
          </w:p>
        </w:tc>
        <w:tc>
          <w:tcPr>
            <w:tcW w:w="1157" w:type="pct"/>
            <w:vAlign w:val="center"/>
          </w:tcPr>
          <w:p w14:paraId="3DACA92D">
            <w:pPr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重点、难点：</w:t>
            </w:r>
          </w:p>
          <w:p w14:paraId="20D8477C">
            <w:pPr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hAnsi="宋体"/>
                <w:szCs w:val="24"/>
              </w:rPr>
              <w:t>核磁共振</w:t>
            </w:r>
          </w:p>
        </w:tc>
        <w:tc>
          <w:tcPr>
            <w:tcW w:w="568" w:type="pct"/>
            <w:vAlign w:val="center"/>
          </w:tcPr>
          <w:p w14:paraId="514779D6">
            <w:pPr>
              <w:pStyle w:val="31"/>
              <w:kinsoku w:val="0"/>
              <w:overflowPunct w:val="0"/>
              <w:spacing w:before="99"/>
              <w:ind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1.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讲授法：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能够引导学生学习兴趣，促进学生专业知识提高。</w:t>
            </w:r>
          </w:p>
          <w:p w14:paraId="0CE9A732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2.</w:t>
            </w:r>
            <w:r>
              <w:rPr>
                <w:rFonts w:hint="eastAsia" w:ascii="Times New Roman" w:cs="Times New Roman"/>
                <w:b/>
                <w:sz w:val="21"/>
                <w:szCs w:val="21"/>
              </w:rPr>
              <w:t>视频教学：</w:t>
            </w:r>
            <w:r>
              <w:rPr>
                <w:rFonts w:hint="eastAsia" w:ascii="Times New Roman" w:cs="Times New Roman"/>
                <w:sz w:val="21"/>
                <w:szCs w:val="21"/>
              </w:rPr>
              <w:t>能够促进学生自学能力的提高。</w:t>
            </w:r>
          </w:p>
          <w:p w14:paraId="243B1267">
            <w:pPr>
              <w:pStyle w:val="31"/>
              <w:kinsoku w:val="0"/>
              <w:overflowPunct w:val="0"/>
              <w:spacing w:before="99"/>
              <w:ind w:left="70" w:right="60"/>
              <w:jc w:val="both"/>
              <w:rPr>
                <w:rFonts w:hint="eastAsia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sz w:val="21"/>
                <w:szCs w:val="21"/>
              </w:rPr>
              <w:t>3.翻转课堂：</w:t>
            </w:r>
            <w:r>
              <w:rPr>
                <w:rFonts w:hint="eastAsia" w:ascii="Times New Roman" w:cs="Times New Roman"/>
                <w:sz w:val="21"/>
                <w:szCs w:val="21"/>
              </w:rPr>
              <w:t>促进学生自主学习，提高综合素质。</w:t>
            </w:r>
          </w:p>
        </w:tc>
        <w:tc>
          <w:tcPr>
            <w:tcW w:w="176" w:type="pct"/>
            <w:vAlign w:val="center"/>
          </w:tcPr>
          <w:p w14:paraId="093DAF4C">
            <w:pPr>
              <w:snapToGrid w:val="0"/>
              <w:spacing w:line="4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</w:tbl>
    <w:p w14:paraId="6DA746C3">
      <w:pPr>
        <w:snapToGrid w:val="0"/>
        <w:spacing w:line="400" w:lineRule="exact"/>
        <w:ind w:firstLine="220" w:firstLineChars="100"/>
        <w:rPr>
          <w:rFonts w:ascii="Times New Roman" w:cs="Times New Roman"/>
          <w:color w:val="FF0000"/>
        </w:rPr>
        <w:sectPr>
          <w:pgSz w:w="16840" w:h="11910" w:orient="landscape"/>
          <w:pgMar w:top="1417" w:right="1417" w:bottom="1417" w:left="1417" w:header="720" w:footer="720" w:gutter="0"/>
          <w:cols w:space="720" w:num="1"/>
          <w:docGrid w:linePitch="299" w:charSpace="0"/>
        </w:sectPr>
      </w:pPr>
    </w:p>
    <w:p w14:paraId="3AD21823">
      <w:pPr>
        <w:pStyle w:val="3"/>
        <w:kinsoku w:val="0"/>
        <w:overflowPunct w:val="0"/>
        <w:snapToGrid w:val="0"/>
        <w:spacing w:before="0" w:after="120" w:afterLines="50"/>
        <w:ind w:left="0" w:firstLine="562" w:firstLineChars="200"/>
        <w:rPr>
          <w:rFonts w:ascii="Times New Roman" w:eastAsia="黑体" w:cs="Times New Roman"/>
        </w:rPr>
      </w:pPr>
      <w:r>
        <w:rPr>
          <w:rFonts w:hint="eastAsia" w:ascii="Times New Roman" w:eastAsia="黑体" w:cs="Times New Roman"/>
        </w:rPr>
        <w:t>四、课程考核</w:t>
      </w:r>
    </w:p>
    <w:p w14:paraId="28F4B7E7">
      <w:pPr>
        <w:snapToGrid w:val="0"/>
        <w:spacing w:line="360" w:lineRule="auto"/>
        <w:ind w:firstLine="482" w:firstLineChars="200"/>
        <w:rPr>
          <w:rFonts w:ascii="Times New Roman" w:cs="Times New Roman"/>
          <w:color w:val="FF0000"/>
          <w:sz w:val="24"/>
          <w:szCs w:val="24"/>
        </w:rPr>
      </w:pPr>
      <w:r>
        <w:rPr>
          <w:rFonts w:hint="eastAsia" w:ascii="Times New Roman" w:eastAsia="黑体" w:cs="Times New Roman"/>
          <w:b/>
          <w:sz w:val="24"/>
          <w:szCs w:val="24"/>
        </w:rPr>
        <w:t>（一）考核内容与考核方式</w:t>
      </w:r>
    </w:p>
    <w:p w14:paraId="36DAA256">
      <w:pPr>
        <w:pStyle w:val="6"/>
        <w:kinsoku w:val="0"/>
        <w:overflowPunct w:val="0"/>
        <w:spacing w:before="66"/>
        <w:jc w:val="center"/>
        <w:rPr>
          <w:rFonts w:ascii="Times New Roman" w:cs="Times New Roman"/>
        </w:rPr>
      </w:pPr>
      <w:r>
        <w:rPr>
          <w:rFonts w:hint="eastAsia" w:ascii="Times New Roman" w:cs="Times New Roman"/>
          <w:b/>
          <w:sz w:val="21"/>
          <w:szCs w:val="21"/>
        </w:rPr>
        <w:t>表</w:t>
      </w:r>
      <w:r>
        <w:rPr>
          <w:rFonts w:ascii="Times New Roman" w:cs="Times New Roman"/>
          <w:b/>
          <w:sz w:val="21"/>
          <w:szCs w:val="21"/>
        </w:rPr>
        <w:t xml:space="preserve">4-1 </w:t>
      </w:r>
      <w:r>
        <w:rPr>
          <w:rFonts w:hint="eastAsia" w:ascii="Times New Roman" w:cs="Times New Roman"/>
          <w:b/>
          <w:sz w:val="21"/>
          <w:szCs w:val="21"/>
        </w:rPr>
        <w:t>课程目标、考核内容与考核方式对应关系</w:t>
      </w:r>
    </w:p>
    <w:tbl>
      <w:tblPr>
        <w:tblStyle w:val="12"/>
        <w:tblW w:w="9782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4536"/>
        <w:gridCol w:w="1701"/>
        <w:gridCol w:w="1021"/>
        <w:gridCol w:w="1389"/>
      </w:tblGrid>
      <w:tr w14:paraId="44199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0C473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b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课程目标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D4126">
            <w:pPr>
              <w:pStyle w:val="31"/>
              <w:kinsoku w:val="0"/>
              <w:overflowPunct w:val="0"/>
              <w:spacing w:before="171"/>
              <w:ind w:left="1165" w:right="1156"/>
              <w:jc w:val="center"/>
              <w:rPr>
                <w:rFonts w:ascii="Times New Roman" w:cs="Times New Roman"/>
                <w:b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考核内容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932AF">
            <w:pPr>
              <w:pStyle w:val="31"/>
              <w:kinsoku w:val="0"/>
              <w:overflowPunct w:val="0"/>
              <w:spacing w:before="15"/>
              <w:ind w:left="131"/>
              <w:jc w:val="center"/>
              <w:rPr>
                <w:rFonts w:ascii="Times New Roman" w:cs="Times New Roman"/>
                <w:b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所属</w:t>
            </w:r>
          </w:p>
          <w:p w14:paraId="4D0A4248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b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学习模块/项目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DB4C7">
            <w:pPr>
              <w:pStyle w:val="31"/>
              <w:kinsoku w:val="0"/>
              <w:overflowPunct w:val="0"/>
              <w:spacing w:before="171"/>
              <w:ind w:left="183" w:right="177"/>
              <w:jc w:val="center"/>
              <w:rPr>
                <w:rFonts w:ascii="Times New Roman" w:cs="Times New Roman"/>
                <w:b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考核占比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CE9FE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b/>
                <w:sz w:val="21"/>
                <w:szCs w:val="21"/>
              </w:rPr>
            </w:pPr>
            <w:r>
              <w:rPr>
                <w:rFonts w:ascii="Times New Roman" w:cs="Times New Roman"/>
                <w:b/>
                <w:sz w:val="21"/>
                <w:szCs w:val="21"/>
              </w:rPr>
              <w:t>考核方式</w:t>
            </w:r>
          </w:p>
        </w:tc>
      </w:tr>
      <w:tr w14:paraId="5F1BB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57CC739">
            <w:pPr>
              <w:pStyle w:val="31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课程</w:t>
            </w:r>
          </w:p>
          <w:p w14:paraId="3EF3A50E">
            <w:pPr>
              <w:pStyle w:val="31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目标 1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0FF1A4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1.材料物理性能的研究内容、研究方法。材料热容的各种理论及其比较，热膨胀的定义及其基本机理，热传导的宏观规律和微观机理，热稳定性的表示，德拜温度的物理意义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5D51B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绪论及材料的热学性能</w:t>
            </w:r>
          </w:p>
        </w:tc>
        <w:tc>
          <w:tcPr>
            <w:tcW w:w="102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64BD2CF2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50%</w:t>
            </w:r>
          </w:p>
        </w:tc>
        <w:tc>
          <w:tcPr>
            <w:tcW w:w="138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8722C56">
            <w:pPr>
              <w:pStyle w:val="31"/>
              <w:kinsoku w:val="0"/>
              <w:overflowPunct w:val="0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闭卷考试</w:t>
            </w:r>
          </w:p>
        </w:tc>
      </w:tr>
      <w:tr w14:paraId="01EE5E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4A3D74B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8736A8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2.各种电导的宏观参数和物理量及电导的主要基本公式；围绕此公式来讨论各种电导的电导率及其影响因素，掌握晶体的能带理论知识。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89FC6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材料的电导性能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F26597A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D438266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67721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3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309F6CAA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895D1">
            <w:pPr>
              <w:pStyle w:val="31"/>
              <w:kinsoku w:val="0"/>
              <w:overflowPunct w:val="0"/>
              <w:spacing w:before="25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3.固体物质的各种磁性(抗磁性、顺磁性、铁磁性、反铁磁性、亚铁磁性)的形成机理及宏观表现；磁性表征参量、各类磁性物质的内部相互作用；磁性材料在交变磁场中的磁化过程及宏观磁性。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85E86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材料的磁学性能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68F0E3A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9218EDB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16187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F95392B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BEE749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4.光的波粒二象性，光传播电磁理论、反射、光的吸收和色散、晶体的双折射、介质的光散射等各种光现象的物理本质；光和固体的相互作用，影响材料光学性能的各种因素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BABFE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材料的光学性能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62C20C42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95D29C6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6F15A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239AF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EBBFDF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5.材料的弹性的物理本质、弹性模量的各向异性及温度效应、影响材料弹性模量的主要因素，内耗产生的机制。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CAAEC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材料的弹性及内耗分析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60292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D3E8E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51BE6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D549745">
            <w:pPr>
              <w:pStyle w:val="31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课程</w:t>
            </w:r>
          </w:p>
          <w:p w14:paraId="213BF547">
            <w:pPr>
              <w:pStyle w:val="31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目标 2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D7C03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1.比热容的测量、计算及热分析方法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B430D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绪论及材料的热学性能</w:t>
            </w:r>
          </w:p>
        </w:tc>
        <w:tc>
          <w:tcPr>
            <w:tcW w:w="102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31D819E6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30%</w:t>
            </w:r>
          </w:p>
        </w:tc>
        <w:tc>
          <w:tcPr>
            <w:tcW w:w="138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A664DAB">
            <w:pPr>
              <w:pStyle w:val="31"/>
              <w:kinsoku w:val="0"/>
              <w:overflowPunct w:val="0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闭卷考试</w:t>
            </w:r>
          </w:p>
        </w:tc>
      </w:tr>
      <w:tr w14:paraId="2B3AD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16A0342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0BC0A9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2.导电性的常见测试方法及原理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AEA62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材料的电导性能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B2EAD62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8BE6524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51A37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3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B3328AA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ABB71B">
            <w:pPr>
              <w:pStyle w:val="31"/>
              <w:kinsoku w:val="0"/>
              <w:overflowPunct w:val="0"/>
              <w:spacing w:before="23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3.磁性材料磁滞回线和磁化曲线测定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C6D3D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材料的磁学性能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E177C40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6067AD7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57BC4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62F5637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B3EF7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4.材料光学性能的基本表征方法，如透光率、发光强度的测定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B7269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材料的光学性能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5E0D01B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3C9C6ADC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4B488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6E9F4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0A1AA5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5.弹性模量的测量，了内耗的测量方法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D0015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材料的弹性及内耗分析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92528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34F5D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2052E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662B8">
            <w:pPr>
              <w:pStyle w:val="31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课程</w:t>
            </w:r>
          </w:p>
          <w:p w14:paraId="47F5F2AD">
            <w:pPr>
              <w:pStyle w:val="31"/>
              <w:kinsoku w:val="0"/>
              <w:overflowPunct w:val="0"/>
              <w:spacing w:line="278" w:lineRule="auto"/>
              <w:ind w:left="242" w:right="101" w:hanging="132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目标 3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BBBC7">
            <w:pPr>
              <w:pStyle w:val="31"/>
              <w:kinsoku w:val="0"/>
              <w:overflowPunct w:val="0"/>
              <w:spacing w:before="25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1.热性能分析在材料研究中的应用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F8E78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绪论及材料的热学性能</w:t>
            </w:r>
          </w:p>
        </w:tc>
        <w:tc>
          <w:tcPr>
            <w:tcW w:w="102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38D96EE1">
            <w:pPr>
              <w:pStyle w:val="31"/>
              <w:kinsoku w:val="0"/>
              <w:overflowPunct w:val="0"/>
              <w:spacing w:before="25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20%</w:t>
            </w:r>
          </w:p>
        </w:tc>
        <w:tc>
          <w:tcPr>
            <w:tcW w:w="138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87F8D0D">
            <w:pPr>
              <w:pStyle w:val="31"/>
              <w:kinsoku w:val="0"/>
              <w:overflowPunct w:val="0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闭卷考试</w:t>
            </w:r>
          </w:p>
        </w:tc>
      </w:tr>
      <w:tr w14:paraId="4CB54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E7619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55604B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2.当前导电材料的发展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BF476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材料的电导性能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2BE3D31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73E50FA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43201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56FBE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ECB6A6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3.磁性材料及其应用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7C3FD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材料的磁学性能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709697E6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C4E4E56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3E49F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0F059A5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BED6D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4.光纤材料、激光晶体材料及光存储材料等光学材料的发展。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04A4F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材料的光学性能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8EF9F21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BB87415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754B2B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98A5C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ADCD5A">
            <w:pPr>
              <w:pStyle w:val="31"/>
              <w:kinsoku w:val="0"/>
              <w:overflowPunct w:val="0"/>
              <w:spacing w:before="22"/>
              <w:ind w:left="107"/>
              <w:jc w:val="both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5.弹性模量的应用，内耗分析的应用。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BDF0B">
            <w:pPr>
              <w:pStyle w:val="31"/>
              <w:kinsoku w:val="0"/>
              <w:overflowPunct w:val="0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材料的弹性及内耗分析</w:t>
            </w:r>
          </w:p>
        </w:tc>
        <w:tc>
          <w:tcPr>
            <w:tcW w:w="102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891AC">
            <w:pPr>
              <w:pStyle w:val="31"/>
              <w:kinsoku w:val="0"/>
              <w:overflowPunct w:val="0"/>
              <w:spacing w:before="22"/>
              <w:ind w:left="183" w:right="177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943CF">
            <w:pPr>
              <w:pStyle w:val="6"/>
              <w:kinsoku w:val="0"/>
              <w:overflowPunct w:val="0"/>
              <w:spacing w:before="4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</w:tbl>
    <w:p w14:paraId="3E09F157">
      <w:pPr>
        <w:pStyle w:val="6"/>
        <w:kinsoku w:val="0"/>
        <w:overflowPunct w:val="0"/>
        <w:spacing w:before="66"/>
        <w:jc w:val="center"/>
        <w:rPr>
          <w:rFonts w:ascii="Times New Roman" w:cs="Times New Roman"/>
          <w:b/>
          <w:color w:val="FF0000"/>
          <w:sz w:val="21"/>
          <w:szCs w:val="21"/>
        </w:rPr>
      </w:pPr>
    </w:p>
    <w:p w14:paraId="3D7873D2">
      <w:pPr>
        <w:pStyle w:val="6"/>
        <w:kinsoku w:val="0"/>
        <w:overflowPunct w:val="0"/>
        <w:spacing w:before="66"/>
        <w:jc w:val="center"/>
        <w:rPr>
          <w:rFonts w:ascii="Times New Roman" w:cs="Times New Roman"/>
          <w:b/>
          <w:color w:val="FF0000"/>
          <w:sz w:val="21"/>
          <w:szCs w:val="21"/>
        </w:rPr>
      </w:pPr>
    </w:p>
    <w:p w14:paraId="782A518D">
      <w:pPr>
        <w:pStyle w:val="6"/>
        <w:kinsoku w:val="0"/>
        <w:overflowPunct w:val="0"/>
        <w:spacing w:before="66"/>
        <w:jc w:val="center"/>
        <w:rPr>
          <w:rFonts w:ascii="Times New Roman" w:cs="Times New Roman"/>
          <w:b/>
          <w:color w:val="FF0000"/>
          <w:sz w:val="21"/>
          <w:szCs w:val="21"/>
        </w:rPr>
      </w:pPr>
    </w:p>
    <w:p w14:paraId="511B0DA3">
      <w:pPr>
        <w:pStyle w:val="6"/>
        <w:kinsoku w:val="0"/>
        <w:overflowPunct w:val="0"/>
        <w:spacing w:before="66"/>
        <w:jc w:val="center"/>
        <w:rPr>
          <w:rFonts w:ascii="Times New Roman" w:cs="Times New Roman"/>
          <w:b/>
          <w:color w:val="FF0000"/>
          <w:sz w:val="21"/>
          <w:szCs w:val="21"/>
        </w:rPr>
      </w:pPr>
    </w:p>
    <w:p w14:paraId="57D7D37B">
      <w:pPr>
        <w:pStyle w:val="6"/>
        <w:kinsoku w:val="0"/>
        <w:overflowPunct w:val="0"/>
        <w:spacing w:before="66"/>
        <w:jc w:val="center"/>
        <w:rPr>
          <w:rFonts w:ascii="Times New Roman" w:cs="Times New Roman"/>
          <w:b/>
          <w:color w:val="FF0000"/>
          <w:sz w:val="21"/>
          <w:szCs w:val="21"/>
        </w:rPr>
      </w:pPr>
    </w:p>
    <w:p w14:paraId="28FCAB89">
      <w:pPr>
        <w:pStyle w:val="6"/>
        <w:kinsoku w:val="0"/>
        <w:overflowPunct w:val="0"/>
        <w:spacing w:before="66"/>
        <w:jc w:val="center"/>
        <w:rPr>
          <w:rFonts w:hint="eastAsia" w:ascii="Times New Roman" w:cs="Times New Roman"/>
          <w:b/>
          <w:color w:val="FF0000"/>
          <w:sz w:val="21"/>
          <w:szCs w:val="21"/>
        </w:rPr>
      </w:pPr>
    </w:p>
    <w:p w14:paraId="44D4C04C">
      <w:pPr>
        <w:pStyle w:val="6"/>
        <w:kinsoku w:val="0"/>
        <w:overflowPunct w:val="0"/>
        <w:spacing w:before="66"/>
        <w:jc w:val="center"/>
        <w:rPr>
          <w:rFonts w:ascii="Times New Roman" w:eastAsia="黑体" w:cs="Times New Roman"/>
        </w:rPr>
      </w:pPr>
      <w:r>
        <w:rPr>
          <w:rFonts w:hint="eastAsia" w:ascii="Times New Roman" w:cs="Times New Roman"/>
          <w:b/>
          <w:sz w:val="21"/>
          <w:szCs w:val="21"/>
        </w:rPr>
        <w:t>表</w:t>
      </w:r>
      <w:r>
        <w:rPr>
          <w:rFonts w:ascii="Times New Roman" w:cs="Times New Roman"/>
          <w:b/>
          <w:sz w:val="21"/>
          <w:szCs w:val="21"/>
        </w:rPr>
        <w:t xml:space="preserve">4-2 </w:t>
      </w:r>
      <w:r>
        <w:rPr>
          <w:rFonts w:hint="eastAsia" w:ascii="Times New Roman" w:cs="Times New Roman"/>
          <w:b/>
          <w:sz w:val="21"/>
          <w:szCs w:val="21"/>
        </w:rPr>
        <w:t>课程目标与考核方式矩阵关系</w:t>
      </w:r>
    </w:p>
    <w:tbl>
      <w:tblPr>
        <w:tblStyle w:val="12"/>
        <w:tblW w:w="9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452"/>
        <w:gridCol w:w="1442"/>
        <w:gridCol w:w="1519"/>
        <w:gridCol w:w="1520"/>
        <w:gridCol w:w="2608"/>
      </w:tblGrid>
      <w:tr w14:paraId="1B39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jc w:val="center"/>
        </w:trPr>
        <w:tc>
          <w:tcPr>
            <w:tcW w:w="750" w:type="dxa"/>
            <w:vMerge w:val="restart"/>
            <w:vAlign w:val="center"/>
          </w:tcPr>
          <w:p w14:paraId="30E1ED6A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</w:t>
            </w:r>
          </w:p>
          <w:p w14:paraId="665DD21F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目标</w:t>
            </w:r>
          </w:p>
        </w:tc>
        <w:tc>
          <w:tcPr>
            <w:tcW w:w="5933" w:type="dxa"/>
            <w:gridSpan w:val="4"/>
            <w:vAlign w:val="center"/>
          </w:tcPr>
          <w:p w14:paraId="3852EE91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考核方式</w:t>
            </w:r>
          </w:p>
        </w:tc>
        <w:tc>
          <w:tcPr>
            <w:tcW w:w="2608" w:type="dxa"/>
            <w:vMerge w:val="restart"/>
            <w:vAlign w:val="center"/>
          </w:tcPr>
          <w:p w14:paraId="6096FB74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考核占比</w:t>
            </w:r>
          </w:p>
        </w:tc>
      </w:tr>
      <w:tr w14:paraId="15BA5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50" w:type="dxa"/>
            <w:vMerge w:val="continue"/>
            <w:vAlign w:val="center"/>
          </w:tcPr>
          <w:p w14:paraId="06621E7F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1452" w:type="dxa"/>
            <w:vAlign w:val="center"/>
          </w:tcPr>
          <w:p w14:paraId="7D38976B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期末考试成绩比例6</w:t>
            </w:r>
            <w:r>
              <w:rPr>
                <w:rFonts w:ascii="Times New Roman" w:cs="Times New Roman"/>
                <w:sz w:val="21"/>
                <w:szCs w:val="21"/>
              </w:rPr>
              <w:t>0%</w:t>
            </w:r>
          </w:p>
        </w:tc>
        <w:tc>
          <w:tcPr>
            <w:tcW w:w="1442" w:type="dxa"/>
            <w:vAlign w:val="center"/>
          </w:tcPr>
          <w:p w14:paraId="7F15E74B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课堂表现成绩比例8</w:t>
            </w:r>
            <w:r>
              <w:rPr>
                <w:rFonts w:ascii="Times New Roman" w:cs="Times New Roman"/>
                <w:sz w:val="21"/>
                <w:szCs w:val="21"/>
              </w:rPr>
              <w:t>%</w:t>
            </w:r>
          </w:p>
        </w:tc>
        <w:tc>
          <w:tcPr>
            <w:tcW w:w="1519" w:type="dxa"/>
            <w:vAlign w:val="center"/>
          </w:tcPr>
          <w:p w14:paraId="0657192B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平时作业成绩比例20</w:t>
            </w:r>
            <w:r>
              <w:rPr>
                <w:rFonts w:ascii="Times New Roman" w:cs="Times New Roman"/>
                <w:sz w:val="21"/>
                <w:szCs w:val="21"/>
              </w:rPr>
              <w:t>%</w:t>
            </w:r>
          </w:p>
        </w:tc>
        <w:tc>
          <w:tcPr>
            <w:tcW w:w="1520" w:type="dxa"/>
            <w:vAlign w:val="center"/>
          </w:tcPr>
          <w:p w14:paraId="566D2FE8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实践教学成绩比例12</w:t>
            </w:r>
            <w:r>
              <w:rPr>
                <w:rFonts w:ascii="Times New Roman" w:cs="Times New Roman"/>
                <w:sz w:val="21"/>
                <w:szCs w:val="21"/>
              </w:rPr>
              <w:t>%</w:t>
            </w:r>
          </w:p>
        </w:tc>
        <w:tc>
          <w:tcPr>
            <w:tcW w:w="2608" w:type="dxa"/>
            <w:vMerge w:val="continue"/>
            <w:vAlign w:val="center"/>
          </w:tcPr>
          <w:p w14:paraId="35D3B458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</w:tr>
      <w:tr w14:paraId="4047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750" w:type="dxa"/>
            <w:vAlign w:val="center"/>
          </w:tcPr>
          <w:p w14:paraId="29C34A84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课程目标</w:t>
            </w:r>
            <w:r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1452" w:type="dxa"/>
            <w:vAlign w:val="center"/>
          </w:tcPr>
          <w:p w14:paraId="440E61ED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60</w:t>
            </w:r>
            <w:r>
              <w:rPr>
                <w:rFonts w:ascii="Times New Roman" w:cs="Times New Roman"/>
                <w:sz w:val="21"/>
                <w:szCs w:val="21"/>
              </w:rPr>
              <w:t>%</w:t>
            </w:r>
          </w:p>
        </w:tc>
        <w:tc>
          <w:tcPr>
            <w:tcW w:w="1442" w:type="dxa"/>
            <w:vAlign w:val="center"/>
          </w:tcPr>
          <w:p w14:paraId="76CF8EDF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40%</w:t>
            </w:r>
          </w:p>
        </w:tc>
        <w:tc>
          <w:tcPr>
            <w:tcW w:w="1519" w:type="dxa"/>
            <w:vAlign w:val="center"/>
          </w:tcPr>
          <w:p w14:paraId="13A8EFAF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50%</w:t>
            </w:r>
          </w:p>
        </w:tc>
        <w:tc>
          <w:tcPr>
            <w:tcW w:w="1520" w:type="dxa"/>
            <w:vAlign w:val="center"/>
          </w:tcPr>
          <w:p w14:paraId="52FFCAFD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10%</w:t>
            </w:r>
          </w:p>
        </w:tc>
        <w:tc>
          <w:tcPr>
            <w:tcW w:w="2608" w:type="dxa"/>
            <w:vAlign w:val="center"/>
          </w:tcPr>
          <w:p w14:paraId="3A1B3183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50%</w:t>
            </w:r>
          </w:p>
        </w:tc>
      </w:tr>
      <w:tr w14:paraId="31B0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50" w:type="dxa"/>
            <w:vAlign w:val="center"/>
          </w:tcPr>
          <w:p w14:paraId="0B72E176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课程目标</w:t>
            </w:r>
            <w:r>
              <w:rPr>
                <w:rFonts w:ascii="Times New Roman" w:cs="Times New Roman"/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14:paraId="5140282F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4</w:t>
            </w:r>
            <w:r>
              <w:rPr>
                <w:rFonts w:ascii="Times New Roman" w:cs="Times New Roman"/>
                <w:sz w:val="21"/>
                <w:szCs w:val="21"/>
              </w:rPr>
              <w:t>0%</w:t>
            </w:r>
          </w:p>
        </w:tc>
        <w:tc>
          <w:tcPr>
            <w:tcW w:w="1442" w:type="dxa"/>
            <w:vAlign w:val="center"/>
          </w:tcPr>
          <w:p w14:paraId="25527562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40%</w:t>
            </w:r>
          </w:p>
        </w:tc>
        <w:tc>
          <w:tcPr>
            <w:tcW w:w="1519" w:type="dxa"/>
            <w:vAlign w:val="center"/>
          </w:tcPr>
          <w:p w14:paraId="676DF010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40%</w:t>
            </w:r>
          </w:p>
        </w:tc>
        <w:tc>
          <w:tcPr>
            <w:tcW w:w="1520" w:type="dxa"/>
            <w:vAlign w:val="center"/>
          </w:tcPr>
          <w:p w14:paraId="7F9F903E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20%</w:t>
            </w:r>
          </w:p>
        </w:tc>
        <w:tc>
          <w:tcPr>
            <w:tcW w:w="2608" w:type="dxa"/>
            <w:vAlign w:val="center"/>
          </w:tcPr>
          <w:p w14:paraId="276D9316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30%</w:t>
            </w:r>
          </w:p>
        </w:tc>
      </w:tr>
      <w:tr w14:paraId="0985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50" w:type="dxa"/>
            <w:vAlign w:val="center"/>
          </w:tcPr>
          <w:p w14:paraId="58D909EF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课程目标</w:t>
            </w:r>
            <w:r>
              <w:rPr>
                <w:rFonts w:ascii="Times New Roman" w:cs="Times New Roman"/>
                <w:sz w:val="21"/>
                <w:szCs w:val="21"/>
              </w:rPr>
              <w:t>3</w:t>
            </w:r>
          </w:p>
        </w:tc>
        <w:tc>
          <w:tcPr>
            <w:tcW w:w="1452" w:type="dxa"/>
            <w:vAlign w:val="center"/>
          </w:tcPr>
          <w:p w14:paraId="195F0672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1442" w:type="dxa"/>
            <w:vAlign w:val="center"/>
          </w:tcPr>
          <w:p w14:paraId="6D86F71D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20%</w:t>
            </w:r>
          </w:p>
        </w:tc>
        <w:tc>
          <w:tcPr>
            <w:tcW w:w="1519" w:type="dxa"/>
            <w:vAlign w:val="center"/>
          </w:tcPr>
          <w:p w14:paraId="6DC2FA1C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10%</w:t>
            </w:r>
          </w:p>
        </w:tc>
        <w:tc>
          <w:tcPr>
            <w:tcW w:w="1520" w:type="dxa"/>
            <w:vAlign w:val="center"/>
          </w:tcPr>
          <w:p w14:paraId="6C01F7A2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70%</w:t>
            </w:r>
          </w:p>
        </w:tc>
        <w:tc>
          <w:tcPr>
            <w:tcW w:w="2608" w:type="dxa"/>
            <w:vAlign w:val="center"/>
          </w:tcPr>
          <w:p w14:paraId="2285FE9C">
            <w:pPr>
              <w:pStyle w:val="31"/>
              <w:kinsoku w:val="0"/>
              <w:overflowPunct w:val="0"/>
              <w:spacing w:before="15"/>
              <w:jc w:val="center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20%</w:t>
            </w:r>
          </w:p>
        </w:tc>
      </w:tr>
    </w:tbl>
    <w:p w14:paraId="1D70412D">
      <w:pPr>
        <w:snapToGrid w:val="0"/>
        <w:spacing w:line="400" w:lineRule="exact"/>
        <w:rPr>
          <w:rFonts w:ascii="Times New Roman" w:cs="Times New Roman"/>
          <w:sz w:val="24"/>
          <w:szCs w:val="24"/>
        </w:rPr>
      </w:pPr>
    </w:p>
    <w:p w14:paraId="6F74B6F7">
      <w:pPr>
        <w:pStyle w:val="3"/>
        <w:kinsoku w:val="0"/>
        <w:overflowPunct w:val="0"/>
        <w:ind w:left="0" w:firstLine="482" w:firstLineChars="200"/>
        <w:rPr>
          <w:rFonts w:ascii="Times New Roman" w:eastAsia="黑体" w:cs="Times New Roman"/>
          <w:sz w:val="24"/>
          <w:szCs w:val="24"/>
        </w:rPr>
      </w:pPr>
      <w:r>
        <w:rPr>
          <w:rFonts w:hint="eastAsia" w:ascii="Times New Roman" w:eastAsia="黑体" w:cs="Times New Roman"/>
          <w:sz w:val="24"/>
          <w:szCs w:val="24"/>
        </w:rPr>
        <w:t>（二）成绩评定</w:t>
      </w:r>
    </w:p>
    <w:p w14:paraId="607B17CF">
      <w:pPr>
        <w:snapToGrid w:val="0"/>
        <w:spacing w:line="400" w:lineRule="exact"/>
        <w:ind w:firstLine="482" w:firstLineChars="200"/>
        <w:rPr>
          <w:rFonts w:asci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>1.</w:t>
      </w:r>
      <w:r>
        <w:rPr>
          <w:rFonts w:hint="eastAsia" w:ascii="Times New Roman" w:cs="Times New Roman"/>
          <w:b/>
          <w:sz w:val="24"/>
          <w:szCs w:val="24"/>
        </w:rPr>
        <w:t>平时成绩评定</w:t>
      </w:r>
    </w:p>
    <w:p w14:paraId="6D4D55E9">
      <w:pPr>
        <w:snapToGrid w:val="0"/>
        <w:spacing w:line="400" w:lineRule="exact"/>
        <w:ind w:firstLine="482" w:firstLineChars="200"/>
        <w:rPr>
          <w:rFonts w:ascii="Times New Roman" w:cs="Times New Roman"/>
          <w:sz w:val="24"/>
          <w:szCs w:val="24"/>
        </w:rPr>
      </w:pPr>
      <w:r>
        <w:rPr>
          <w:rFonts w:hint="eastAsia" w:ascii="Times New Roman" w:cs="Times New Roman"/>
          <w:b/>
          <w:sz w:val="24"/>
          <w:szCs w:val="24"/>
        </w:rPr>
        <w:t>（</w:t>
      </w:r>
      <w:r>
        <w:rPr>
          <w:rFonts w:ascii="Times New Roman" w:cs="Times New Roman"/>
          <w:b/>
          <w:sz w:val="24"/>
          <w:szCs w:val="24"/>
        </w:rPr>
        <w:t>1</w:t>
      </w:r>
      <w:r>
        <w:rPr>
          <w:rFonts w:hint="eastAsia" w:ascii="Times New Roman" w:cs="Times New Roman"/>
          <w:b/>
          <w:sz w:val="24"/>
          <w:szCs w:val="24"/>
        </w:rPr>
        <w:t>）课堂表现（</w:t>
      </w:r>
      <w:r>
        <w:rPr>
          <w:rFonts w:ascii="Times New Roman" w:cs="Times New Roman"/>
          <w:b/>
          <w:sz w:val="24"/>
          <w:szCs w:val="24"/>
        </w:rPr>
        <w:t>20%</w:t>
      </w:r>
      <w:r>
        <w:rPr>
          <w:rFonts w:hint="eastAsia" w:ascii="Times New Roman" w:cs="Times New Roman"/>
          <w:b/>
          <w:sz w:val="24"/>
          <w:szCs w:val="24"/>
        </w:rPr>
        <w:t>）</w:t>
      </w:r>
      <w:r>
        <w:rPr>
          <w:rFonts w:hint="eastAsia" w:ascii="Times New Roman" w:cs="Times New Roman"/>
          <w:sz w:val="24"/>
          <w:szCs w:val="24"/>
        </w:rPr>
        <w:t>：通过学生在课堂上的表现情况、发言与提问情况，评价学生相关的能力。</w:t>
      </w:r>
    </w:p>
    <w:p w14:paraId="4AE5B332">
      <w:pPr>
        <w:snapToGrid w:val="0"/>
        <w:spacing w:line="400" w:lineRule="exact"/>
        <w:ind w:firstLine="482" w:firstLineChars="200"/>
        <w:jc w:val="both"/>
        <w:rPr>
          <w:rFonts w:ascii="Times New Roman" w:cs="Times New Roman"/>
          <w:sz w:val="24"/>
          <w:szCs w:val="24"/>
        </w:rPr>
      </w:pPr>
      <w:r>
        <w:rPr>
          <w:rFonts w:hint="eastAsia" w:ascii="Times New Roman" w:cs="Times New Roman"/>
          <w:b/>
          <w:sz w:val="24"/>
          <w:szCs w:val="24"/>
        </w:rPr>
        <w:t>（</w:t>
      </w:r>
      <w:r>
        <w:rPr>
          <w:rFonts w:ascii="Times New Roman" w:cs="Times New Roman"/>
          <w:b/>
          <w:sz w:val="24"/>
          <w:szCs w:val="24"/>
        </w:rPr>
        <w:t>2</w:t>
      </w:r>
      <w:r>
        <w:rPr>
          <w:rFonts w:hint="eastAsia" w:ascii="Times New Roman" w:cs="Times New Roman"/>
          <w:b/>
          <w:sz w:val="24"/>
          <w:szCs w:val="24"/>
        </w:rPr>
        <w:t>）作业完成情况（</w:t>
      </w:r>
      <w:r>
        <w:rPr>
          <w:rFonts w:ascii="Times New Roman" w:cs="Times New Roman"/>
          <w:b/>
          <w:sz w:val="24"/>
          <w:szCs w:val="24"/>
        </w:rPr>
        <w:t>50%</w:t>
      </w:r>
      <w:r>
        <w:rPr>
          <w:rFonts w:hint="eastAsia" w:ascii="Times New Roman" w:cs="Times New Roman"/>
          <w:b/>
          <w:sz w:val="24"/>
          <w:szCs w:val="24"/>
        </w:rPr>
        <w:t>）</w:t>
      </w:r>
      <w:r>
        <w:rPr>
          <w:rFonts w:hint="eastAsia" w:ascii="Times New Roman" w:cs="Times New Roman"/>
          <w:sz w:val="24"/>
          <w:szCs w:val="24"/>
        </w:rPr>
        <w:t>：围绕课程的学习目标进行作业的设计。如让学生简述对知识的认识，考核学生对于概念的理解情况，帮助学生将定义转化为自己的理解。</w:t>
      </w:r>
    </w:p>
    <w:p w14:paraId="23407FE9">
      <w:pPr>
        <w:snapToGrid w:val="0"/>
        <w:spacing w:line="400" w:lineRule="exact"/>
        <w:ind w:firstLine="482" w:firstLineChars="200"/>
        <w:jc w:val="both"/>
        <w:rPr>
          <w:rFonts w:ascii="Times New Roman" w:cs="Times New Roman"/>
          <w:sz w:val="24"/>
          <w:szCs w:val="24"/>
        </w:rPr>
      </w:pPr>
      <w:r>
        <w:rPr>
          <w:rFonts w:hint="eastAsia" w:ascii="Times New Roman" w:cs="Times New Roman"/>
          <w:b/>
          <w:sz w:val="24"/>
          <w:szCs w:val="24"/>
        </w:rPr>
        <w:t>（</w:t>
      </w:r>
      <w:r>
        <w:rPr>
          <w:rFonts w:ascii="Times New Roman" w:cs="Times New Roman"/>
          <w:b/>
          <w:sz w:val="24"/>
          <w:szCs w:val="24"/>
        </w:rPr>
        <w:t>3</w:t>
      </w:r>
      <w:r>
        <w:rPr>
          <w:rFonts w:hint="eastAsia" w:ascii="Times New Roman" w:cs="Times New Roman"/>
          <w:b/>
          <w:sz w:val="24"/>
          <w:szCs w:val="24"/>
        </w:rPr>
        <w:t>）实践教学（3</w:t>
      </w:r>
      <w:r>
        <w:rPr>
          <w:rFonts w:ascii="Times New Roman" w:cs="Times New Roman"/>
          <w:b/>
          <w:sz w:val="24"/>
          <w:szCs w:val="24"/>
        </w:rPr>
        <w:t>0%</w:t>
      </w:r>
      <w:r>
        <w:rPr>
          <w:rFonts w:hint="eastAsia" w:ascii="Times New Roman" w:cs="Times New Roman"/>
          <w:b/>
          <w:sz w:val="24"/>
          <w:szCs w:val="24"/>
        </w:rPr>
        <w:t>）</w:t>
      </w:r>
      <w:r>
        <w:rPr>
          <w:rFonts w:hint="eastAsia" w:ascii="Times New Roman" w:cs="Times New Roman"/>
          <w:sz w:val="24"/>
          <w:szCs w:val="24"/>
        </w:rPr>
        <w:t>：通过课堂教案设计、课堂片段展示与汇报，训练学生的课堂实践能力，使学生真正明确教学技能在实际教学中的应用，形成自己适合的教学风格。</w:t>
      </w:r>
    </w:p>
    <w:p w14:paraId="7C77E1DC">
      <w:pPr>
        <w:snapToGrid w:val="0"/>
        <w:spacing w:line="400" w:lineRule="exact"/>
        <w:ind w:firstLine="482" w:firstLineChars="200"/>
        <w:rPr>
          <w:rFonts w:ascii="Times New Roman" w:cs="Times New Roman"/>
          <w:b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>2.</w:t>
      </w:r>
      <w:r>
        <w:rPr>
          <w:rFonts w:hint="eastAsia" w:ascii="Times New Roman" w:cs="Times New Roman"/>
          <w:b/>
          <w:sz w:val="24"/>
          <w:szCs w:val="24"/>
        </w:rPr>
        <w:t>期末成绩评定</w:t>
      </w:r>
    </w:p>
    <w:p w14:paraId="68C2D382">
      <w:pPr>
        <w:snapToGrid w:val="0"/>
        <w:spacing w:line="400" w:lineRule="exact"/>
        <w:ind w:firstLine="480" w:firstLineChars="200"/>
        <w:rPr>
          <w:rFonts w:asci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期末考核主要</w:t>
      </w:r>
      <w:r>
        <w:rPr>
          <w:rFonts w:hint="eastAsia" w:ascii="Times New Roman" w:cs="Times New Roman"/>
          <w:sz w:val="24"/>
          <w:szCs w:val="24"/>
          <w:lang w:eastAsia="zh-CN"/>
        </w:rPr>
        <w:t>考查学生</w:t>
      </w:r>
      <w:r>
        <w:rPr>
          <w:rFonts w:hint="eastAsia" w:ascii="Times New Roman" w:cs="Times New Roman"/>
          <w:sz w:val="24"/>
          <w:szCs w:val="24"/>
        </w:rPr>
        <w:t>对基本概念、操作程序和具体方法的理解与运用等。方式为闭卷考试。</w:t>
      </w:r>
    </w:p>
    <w:p w14:paraId="153901B0">
      <w:pPr>
        <w:snapToGrid w:val="0"/>
        <w:spacing w:line="400" w:lineRule="exact"/>
        <w:ind w:firstLine="482" w:firstLineChars="200"/>
        <w:rPr>
          <w:rFonts w:ascii="Times New Roman" w:cs="Times New Roman"/>
          <w:b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>3.</w:t>
      </w:r>
      <w:r>
        <w:rPr>
          <w:rFonts w:hint="eastAsia" w:ascii="Times New Roman" w:cs="Times New Roman"/>
          <w:b/>
          <w:sz w:val="24"/>
          <w:szCs w:val="24"/>
        </w:rPr>
        <w:t>总成绩评定</w:t>
      </w:r>
    </w:p>
    <w:p w14:paraId="5E05A91F">
      <w:pPr>
        <w:snapToGrid w:val="0"/>
        <w:spacing w:line="400" w:lineRule="exact"/>
        <w:ind w:firstLine="480" w:firstLineChars="200"/>
        <w:rPr>
          <w:rFonts w:asci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总成绩应由平时考核成绩和期末考核成绩构成，其构成比例如下：</w:t>
      </w:r>
    </w:p>
    <w:p w14:paraId="47028026">
      <w:pPr>
        <w:snapToGrid w:val="0"/>
        <w:spacing w:line="400" w:lineRule="exact"/>
        <w:ind w:firstLine="480" w:firstLineChars="200"/>
        <w:rPr>
          <w:rFonts w:asci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总成绩（</w:t>
      </w:r>
      <w:r>
        <w:rPr>
          <w:rFonts w:ascii="Times New Roman" w:cs="Times New Roman"/>
          <w:sz w:val="24"/>
          <w:szCs w:val="24"/>
        </w:rPr>
        <w:t>100%</w:t>
      </w:r>
      <w:r>
        <w:rPr>
          <w:rFonts w:hint="eastAsia" w:ascii="Times New Roman" w:cs="Times New Roman"/>
          <w:sz w:val="24"/>
          <w:szCs w:val="24"/>
        </w:rPr>
        <w:t>）</w:t>
      </w:r>
      <w:r>
        <w:rPr>
          <w:rFonts w:ascii="Times New Roman" w:cs="Times New Roman"/>
          <w:sz w:val="24"/>
          <w:szCs w:val="24"/>
        </w:rPr>
        <w:t>=</w:t>
      </w:r>
      <w:r>
        <w:rPr>
          <w:rFonts w:hint="eastAsia" w:ascii="Times New Roman" w:cs="Times New Roman"/>
          <w:sz w:val="24"/>
          <w:szCs w:val="24"/>
        </w:rPr>
        <w:t>平时成绩（4</w:t>
      </w:r>
      <w:r>
        <w:rPr>
          <w:rFonts w:ascii="Times New Roman" w:cs="Times New Roman"/>
          <w:sz w:val="24"/>
          <w:szCs w:val="24"/>
        </w:rPr>
        <w:t>0%</w:t>
      </w:r>
      <w:r>
        <w:rPr>
          <w:rFonts w:hint="eastAsia" w:ascii="Times New Roman" w:cs="Times New Roman"/>
          <w:sz w:val="24"/>
          <w:szCs w:val="24"/>
        </w:rPr>
        <w:t>）</w:t>
      </w:r>
      <w:r>
        <w:rPr>
          <w:rFonts w:ascii="Times New Roman" w:cs="Times New Roman"/>
          <w:sz w:val="24"/>
          <w:szCs w:val="24"/>
        </w:rPr>
        <w:t>+</w:t>
      </w:r>
      <w:r>
        <w:rPr>
          <w:rFonts w:hint="eastAsia" w:ascii="Times New Roman" w:cs="Times New Roman"/>
          <w:sz w:val="24"/>
          <w:szCs w:val="24"/>
        </w:rPr>
        <w:t>期末成绩（6</w:t>
      </w:r>
      <w:r>
        <w:rPr>
          <w:rFonts w:ascii="Times New Roman" w:cs="Times New Roman"/>
          <w:sz w:val="24"/>
          <w:szCs w:val="24"/>
        </w:rPr>
        <w:t>0%</w:t>
      </w:r>
      <w:r>
        <w:rPr>
          <w:rFonts w:hint="eastAsia" w:ascii="Times New Roman" w:cs="Times New Roman"/>
          <w:sz w:val="24"/>
          <w:szCs w:val="24"/>
        </w:rPr>
        <w:t>）</w:t>
      </w:r>
    </w:p>
    <w:p w14:paraId="01EE7988">
      <w:pPr>
        <w:snapToGrid w:val="0"/>
        <w:spacing w:line="400" w:lineRule="exact"/>
        <w:ind w:firstLine="480" w:firstLineChars="200"/>
        <w:rPr>
          <w:rFonts w:ascii="Times New Roman" w:cs="Times New Roman"/>
          <w:sz w:val="24"/>
          <w:szCs w:val="24"/>
        </w:rPr>
      </w:pPr>
    </w:p>
    <w:p w14:paraId="7B31E8B6">
      <w:pPr>
        <w:pStyle w:val="3"/>
        <w:kinsoku w:val="0"/>
        <w:overflowPunct w:val="0"/>
        <w:ind w:left="0" w:firstLine="482" w:firstLineChars="200"/>
        <w:rPr>
          <w:rFonts w:ascii="Times New Roman" w:eastAsia="黑体" w:cs="Times New Roman"/>
          <w:sz w:val="24"/>
          <w:szCs w:val="24"/>
        </w:rPr>
      </w:pPr>
      <w:r>
        <w:rPr>
          <w:rFonts w:ascii="Times New Roman" w:eastAsia="黑体" w:cs="Times New Roman"/>
          <w:sz w:val="24"/>
          <w:szCs w:val="24"/>
        </w:rPr>
        <w:t>（三）评分标准</w:t>
      </w:r>
    </w:p>
    <w:p w14:paraId="44B98ED8">
      <w:pPr>
        <w:snapToGrid w:val="0"/>
        <w:spacing w:line="400" w:lineRule="exact"/>
        <w:ind w:firstLine="422" w:firstLineChars="200"/>
        <w:jc w:val="center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b/>
          <w:sz w:val="21"/>
          <w:szCs w:val="21"/>
        </w:rPr>
        <w:t>表5 评分标准（非试卷考核项目）</w:t>
      </w:r>
    </w:p>
    <w:tbl>
      <w:tblPr>
        <w:tblStyle w:val="1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1646"/>
        <w:gridCol w:w="1646"/>
        <w:gridCol w:w="1646"/>
        <w:gridCol w:w="1646"/>
        <w:gridCol w:w="1613"/>
      </w:tblGrid>
      <w:tr w14:paraId="3E361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DA9D0B5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考核项目</w:t>
            </w:r>
          </w:p>
        </w:tc>
        <w:tc>
          <w:tcPr>
            <w:tcW w:w="441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B87A3C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评分标准</w:t>
            </w:r>
          </w:p>
        </w:tc>
      </w:tr>
      <w:tr w14:paraId="2CB5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C5301A2">
            <w:pPr>
              <w:snapToGrid w:val="0"/>
              <w:spacing w:line="400" w:lineRule="exact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7727200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优秀</w:t>
            </w:r>
          </w:p>
          <w:p w14:paraId="5C8C5525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(100&gt;x</w:t>
            </w:r>
            <w:r>
              <w:rPr>
                <w:rFonts w:hAnsi="宋体"/>
                <w:b/>
                <w:sz w:val="21"/>
                <w:szCs w:val="21"/>
              </w:rPr>
              <w:t>≥</w:t>
            </w:r>
            <w:r>
              <w:rPr>
                <w:rFonts w:ascii="Times New Roman"/>
                <w:b/>
                <w:sz w:val="21"/>
                <w:szCs w:val="21"/>
              </w:rPr>
              <w:t>90)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AB62E8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良好</w:t>
            </w:r>
          </w:p>
          <w:p w14:paraId="5FFE186D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(90&gt; x</w:t>
            </w:r>
            <w:r>
              <w:rPr>
                <w:rFonts w:hAnsi="宋体"/>
                <w:b/>
                <w:sz w:val="21"/>
                <w:szCs w:val="21"/>
              </w:rPr>
              <w:t>≥</w:t>
            </w:r>
            <w:r>
              <w:rPr>
                <w:rFonts w:ascii="Times New Roman"/>
                <w:b/>
                <w:sz w:val="21"/>
                <w:szCs w:val="21"/>
              </w:rPr>
              <w:t>80)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FBE5A4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中等</w:t>
            </w:r>
          </w:p>
          <w:p w14:paraId="27A58877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(80&gt; x</w:t>
            </w:r>
            <w:r>
              <w:rPr>
                <w:rFonts w:hAnsi="宋体"/>
                <w:b/>
                <w:sz w:val="21"/>
                <w:szCs w:val="21"/>
              </w:rPr>
              <w:t>≥</w:t>
            </w:r>
            <w:r>
              <w:rPr>
                <w:rFonts w:ascii="Times New Roman"/>
                <w:b/>
                <w:sz w:val="21"/>
                <w:szCs w:val="21"/>
              </w:rPr>
              <w:t>70)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4710670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及格</w:t>
            </w:r>
          </w:p>
          <w:p w14:paraId="4F10BBEC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(70&gt; x</w:t>
            </w:r>
            <w:r>
              <w:rPr>
                <w:rFonts w:hAnsi="宋体"/>
                <w:b/>
                <w:sz w:val="21"/>
                <w:szCs w:val="21"/>
              </w:rPr>
              <w:t>≥</w:t>
            </w:r>
            <w:r>
              <w:rPr>
                <w:rFonts w:ascii="Times New Roman"/>
                <w:b/>
                <w:sz w:val="21"/>
                <w:szCs w:val="21"/>
              </w:rPr>
              <w:t>60)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062047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不及格</w:t>
            </w:r>
          </w:p>
          <w:p w14:paraId="161131F1">
            <w:pPr>
              <w:snapToGrid w:val="0"/>
              <w:spacing w:line="400" w:lineRule="exact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(x &lt;60)</w:t>
            </w:r>
          </w:p>
        </w:tc>
      </w:tr>
      <w:tr w14:paraId="75785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E8D8370">
            <w:pPr>
              <w:snapToGrid w:val="0"/>
              <w:spacing w:line="400" w:lineRule="exact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课堂表现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5F846B7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（1）课堂纸练习、回答问题正确，且能进行解释（50%）。（2）提问、讨论发言观点正确，问题有深度、有创新（50%）。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0BDAAF4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（1）课堂测验、回答问题正确，但解释欠清楚（50%）。（2）提问、讨论发言观点正确，但问题无深度或无创新（50%）。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7542FA0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（1）课堂测验、回答问题大部分正确，且不能解释（50%）。（2）提问、讨论发言观点基本正确，但问题无深度、无创新（50%）。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3B3F6EE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（1）课堂测验、回答问题错误率在30~50%之间，且不能解释（50%）。（2）提问、讨论发言观点有部分错误，或逻辑不严密（50%）。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14A7DC">
            <w:pPr>
              <w:snapToGrid w:val="0"/>
              <w:spacing w:line="400" w:lineRule="exact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（1）课堂测验、回答问题错误率超过50%，且不能解释（50%）。（2）提问、讨论发言观点错误，思路不清晰，逻辑不严密（50%）。如出现错误价值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观，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记为0</w:t>
            </w:r>
          </w:p>
        </w:tc>
      </w:tr>
      <w:tr w14:paraId="113D2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35719E">
            <w:pPr>
              <w:snapToGrid w:val="0"/>
              <w:spacing w:line="400" w:lineRule="exact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课后作业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E547106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（1）答案正确率超过90%（80%）。（2）部分作业完成方法、思路有创新</w:t>
            </w:r>
            <w:r>
              <w:rPr>
                <w:rFonts w:ascii="Times New Roman" w:cs="Times New Roman"/>
                <w:bCs/>
                <w:szCs w:val="21"/>
              </w:rPr>
              <w:t>（10%）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。（3）书写规范，无抄袭，态度端正</w:t>
            </w:r>
            <w:r>
              <w:rPr>
                <w:rFonts w:ascii="Times New Roman" w:cs="Times New Roman"/>
                <w:bCs/>
                <w:szCs w:val="21"/>
              </w:rPr>
              <w:t>（10%）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。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880B69D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（1）作业正确率在80~89%（80%）。（2）整个作业完成方法、思路无创新</w:t>
            </w:r>
            <w:r>
              <w:rPr>
                <w:rFonts w:ascii="Times New Roman" w:cs="Times New Roman"/>
                <w:bCs/>
                <w:szCs w:val="21"/>
              </w:rPr>
              <w:t>（10%）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。（3）书写规范，无抄袭，态度端正</w:t>
            </w:r>
            <w:r>
              <w:rPr>
                <w:rFonts w:ascii="Times New Roman" w:cs="Times New Roman"/>
                <w:bCs/>
                <w:szCs w:val="21"/>
              </w:rPr>
              <w:t>（10%）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。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CEA9128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（1）作业正确率在70-79%（80%）。（2）整个作业完成方法、思路无创新</w:t>
            </w:r>
            <w:r>
              <w:rPr>
                <w:rFonts w:ascii="Times New Roman" w:cs="Times New Roman"/>
                <w:bCs/>
                <w:szCs w:val="21"/>
              </w:rPr>
              <w:t>（10%）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。（3）书写较规范，无抄袭，态度基本端正</w:t>
            </w:r>
            <w:r>
              <w:rPr>
                <w:rFonts w:ascii="Times New Roman" w:cs="Times New Roman"/>
                <w:bCs/>
                <w:szCs w:val="21"/>
              </w:rPr>
              <w:t>（10%）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。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DCF897E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（1）作业正确率在60-69%（80%）。（2）整个作业完成方法、思路无创新</w:t>
            </w:r>
            <w:r>
              <w:rPr>
                <w:rFonts w:ascii="Times New Roman" w:cs="Times New Roman"/>
                <w:bCs/>
                <w:szCs w:val="21"/>
              </w:rPr>
              <w:t>（10%）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。（3）书写不够规范，或有少量抄袭痕迹</w:t>
            </w:r>
            <w:r>
              <w:rPr>
                <w:rFonts w:ascii="Times New Roman" w:cs="Times New Roman"/>
                <w:bCs/>
                <w:szCs w:val="21"/>
              </w:rPr>
              <w:t>（10%）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。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DDA7813">
            <w:pPr>
              <w:snapToGrid w:val="0"/>
              <w:spacing w:line="400" w:lineRule="exact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（1）作业正确率在60%以下（80%）。（2）整个作业完成方法、思路无创新</w:t>
            </w:r>
            <w:r>
              <w:rPr>
                <w:rFonts w:ascii="Times New Roman" w:cs="Times New Roman"/>
                <w:bCs/>
                <w:szCs w:val="21"/>
              </w:rPr>
              <w:t>（10%）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。（3）书写不规范，有明显抄袭，或有部分作业未完成</w:t>
            </w:r>
            <w:r>
              <w:rPr>
                <w:rFonts w:ascii="Times New Roman" w:cs="Times New Roman"/>
                <w:bCs/>
                <w:szCs w:val="21"/>
              </w:rPr>
              <w:t>（10%）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。未提交作业记0分</w:t>
            </w:r>
          </w:p>
        </w:tc>
      </w:tr>
      <w:tr w14:paraId="4AFF4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21F499B">
            <w:pPr>
              <w:snapToGrid w:val="0"/>
              <w:spacing w:line="400" w:lineRule="exact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实践教学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557AF8D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P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PT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制作认真仔细，不存在抄袭，有创新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（50%）。（2）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讲述流畅，表达正确，态度端正。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（50%）。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FF691F4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P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PT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制作认真仔细，不存在抄袭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（50%）。（2）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讲述流畅，表达正确，态度端正。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（50%）。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14A46C3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P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PT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制作较为认真，有少量错误，不存在抄袭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（50%）。（2）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讲述基本流畅，表达基本正确。态度端正。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（50%）。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98969E8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P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PT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制作存在错误，不存在抄袭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（50%）。（2）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讲述不流畅，没有认真准备，无法正常完成讲述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（50%）。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7B08C32">
            <w:pPr>
              <w:snapToGrid w:val="0"/>
              <w:spacing w:line="400" w:lineRule="exact"/>
              <w:rPr>
                <w:rFonts w:asci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cs="Times New Roman"/>
                <w:bCs/>
                <w:sz w:val="21"/>
                <w:szCs w:val="21"/>
              </w:rPr>
              <w:t>（1）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P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PT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制存在严重错误，存在抄袭现象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（50%）。（2）</w:t>
            </w:r>
            <w:r>
              <w:rPr>
                <w:rFonts w:hint="eastAsia" w:ascii="Times New Roman" w:cs="Times New Roman"/>
                <w:bCs/>
                <w:sz w:val="21"/>
                <w:szCs w:val="21"/>
              </w:rPr>
              <w:t>讲述不流畅，表达不正确。甚至出现明显的不当言论</w:t>
            </w:r>
            <w:r>
              <w:rPr>
                <w:rFonts w:ascii="Times New Roman" w:cs="Times New Roman"/>
                <w:bCs/>
                <w:sz w:val="21"/>
                <w:szCs w:val="21"/>
              </w:rPr>
              <w:t>（50%）。</w:t>
            </w:r>
          </w:p>
        </w:tc>
      </w:tr>
    </w:tbl>
    <w:p w14:paraId="50C83049">
      <w:pPr>
        <w:snapToGrid w:val="0"/>
        <w:spacing w:line="400" w:lineRule="exact"/>
        <w:ind w:firstLine="480" w:firstLineChars="200"/>
        <w:rPr>
          <w:rFonts w:ascii="Times New Roman" w:cs="Times New Roman"/>
          <w:sz w:val="24"/>
          <w:szCs w:val="24"/>
        </w:rPr>
      </w:pPr>
    </w:p>
    <w:p w14:paraId="7D0604AB">
      <w:pPr>
        <w:pStyle w:val="3"/>
        <w:kinsoku w:val="0"/>
        <w:overflowPunct w:val="0"/>
        <w:snapToGrid w:val="0"/>
        <w:spacing w:before="0" w:after="120" w:afterLines="50"/>
        <w:ind w:left="0" w:firstLine="562" w:firstLineChars="200"/>
        <w:rPr>
          <w:rFonts w:ascii="Times New Roman" w:eastAsia="黑体" w:cs="Times New Roman"/>
        </w:rPr>
      </w:pPr>
      <w:r>
        <w:rPr>
          <w:rFonts w:hint="eastAsia" w:ascii="Times New Roman" w:eastAsia="黑体" w:cs="Times New Roman"/>
        </w:rPr>
        <w:t>五、其它说明</w:t>
      </w:r>
    </w:p>
    <w:p w14:paraId="6AEE0629">
      <w:pPr>
        <w:snapToGrid w:val="0"/>
        <w:spacing w:line="400" w:lineRule="exact"/>
        <w:ind w:firstLine="480" w:firstLineChars="200"/>
        <w:rPr>
          <w:rFonts w:ascii="Times New Roman" w:cs="Times New Roman"/>
          <w:color w:val="000000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本课程大纲依据</w:t>
      </w:r>
      <w:r>
        <w:rPr>
          <w:rFonts w:ascii="Times New Roman" w:cs="Times New Roman"/>
          <w:sz w:val="24"/>
          <w:szCs w:val="24"/>
        </w:rPr>
        <w:t>2023</w:t>
      </w:r>
      <w:r>
        <w:rPr>
          <w:rFonts w:hint="eastAsia" w:ascii="Times New Roman" w:cs="Times New Roman"/>
          <w:sz w:val="24"/>
          <w:szCs w:val="24"/>
        </w:rPr>
        <w:t>版材料科学与工程专业人才培养方案，由材料科学与工程学院（部）材料科学与工程教学系（教研室）讨论制定，材料科学与工程</w:t>
      </w:r>
      <w:r>
        <w:rPr>
          <w:rFonts w:hint="eastAsia" w:ascii="Times New Roman" w:cs="Times New Roman"/>
          <w:color w:val="000000"/>
          <w:sz w:val="24"/>
          <w:szCs w:val="24"/>
        </w:rPr>
        <w:t>学院（部）教学工作委员会审定，教务处审核批准，自2</w:t>
      </w:r>
      <w:r>
        <w:rPr>
          <w:rFonts w:ascii="Times New Roman" w:cs="Times New Roman"/>
          <w:color w:val="000000"/>
          <w:sz w:val="24"/>
          <w:szCs w:val="24"/>
        </w:rPr>
        <w:t>023</w:t>
      </w:r>
      <w:r>
        <w:rPr>
          <w:rFonts w:hint="eastAsia" w:ascii="Times New Roman" w:cs="Times New Roman"/>
          <w:color w:val="000000"/>
          <w:sz w:val="24"/>
          <w:szCs w:val="24"/>
        </w:rPr>
        <w:t>级开始执行。</w:t>
      </w:r>
    </w:p>
    <w:p w14:paraId="486F3E6B">
      <w:pPr>
        <w:snapToGrid w:val="0"/>
        <w:spacing w:line="400" w:lineRule="exact"/>
        <w:ind w:firstLine="440" w:firstLineChars="200"/>
        <w:rPr>
          <w:rFonts w:ascii="Times New Roman" w:cs="Times New Roman"/>
          <w:color w:val="FF0000"/>
          <w:szCs w:val="21"/>
        </w:rPr>
      </w:pPr>
    </w:p>
    <w:sectPr>
      <w:pgSz w:w="11910" w:h="16840"/>
      <w:pgMar w:top="1417" w:right="1417" w:bottom="1417" w:left="141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明黑等宽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7F5AF"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47955"/>
              <wp:effectExtent l="0" t="1270" r="0" b="3175"/>
              <wp:wrapNone/>
              <wp:docPr id="60947479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006D9F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fLHALRAAAAAgEAAA8AAAAAAAAAAQAgAAAAIgAA&#10;AGRycy9kb3ducmV2LnhtbFBLAQIUABQAAAAIAIdO4kBhQcjQDwIAAAkEAAAOAAAAAAAAAAEAIAAA&#10;ACA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006D9F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10"/>
  <w:drawingGridVerticalSpacing w:val="120"/>
  <w:doNotShadeFormData w:val="1"/>
  <w:characterSpacingControl w:val="doNotCompress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3ZGRkZDZmZjVlOTBkZDdmMTE1M2IwYjA4MmE4NTEifQ=="/>
  </w:docVars>
  <w:rsids>
    <w:rsidRoot w:val="00100FF3"/>
    <w:rsid w:val="000325BD"/>
    <w:rsid w:val="00097ADE"/>
    <w:rsid w:val="000A0B10"/>
    <w:rsid w:val="000B6A1C"/>
    <w:rsid w:val="00100FF3"/>
    <w:rsid w:val="0010235A"/>
    <w:rsid w:val="001362CA"/>
    <w:rsid w:val="00226888"/>
    <w:rsid w:val="00237272"/>
    <w:rsid w:val="00242F47"/>
    <w:rsid w:val="002A7BBC"/>
    <w:rsid w:val="00376841"/>
    <w:rsid w:val="003C4A7C"/>
    <w:rsid w:val="00407877"/>
    <w:rsid w:val="004B2E16"/>
    <w:rsid w:val="004B5B1B"/>
    <w:rsid w:val="00506D94"/>
    <w:rsid w:val="0052263D"/>
    <w:rsid w:val="00524784"/>
    <w:rsid w:val="00546FAE"/>
    <w:rsid w:val="005B02A5"/>
    <w:rsid w:val="005B1B55"/>
    <w:rsid w:val="005F6E86"/>
    <w:rsid w:val="00657FA6"/>
    <w:rsid w:val="00667740"/>
    <w:rsid w:val="006A6717"/>
    <w:rsid w:val="006D171F"/>
    <w:rsid w:val="00704DB1"/>
    <w:rsid w:val="007A718F"/>
    <w:rsid w:val="007B7B2C"/>
    <w:rsid w:val="007C1108"/>
    <w:rsid w:val="007D0958"/>
    <w:rsid w:val="0081698D"/>
    <w:rsid w:val="0081795D"/>
    <w:rsid w:val="00880B22"/>
    <w:rsid w:val="008C7F1E"/>
    <w:rsid w:val="008D598D"/>
    <w:rsid w:val="00935711"/>
    <w:rsid w:val="00965C94"/>
    <w:rsid w:val="009D2376"/>
    <w:rsid w:val="00A6786F"/>
    <w:rsid w:val="00A819D4"/>
    <w:rsid w:val="00A8236E"/>
    <w:rsid w:val="00AA7FB2"/>
    <w:rsid w:val="00AB01E2"/>
    <w:rsid w:val="00AD00DE"/>
    <w:rsid w:val="00AF0DAC"/>
    <w:rsid w:val="00AF5E42"/>
    <w:rsid w:val="00B2661C"/>
    <w:rsid w:val="00B90756"/>
    <w:rsid w:val="00BC4E64"/>
    <w:rsid w:val="00BF7463"/>
    <w:rsid w:val="00C4158A"/>
    <w:rsid w:val="00C81942"/>
    <w:rsid w:val="00C8409B"/>
    <w:rsid w:val="00C91A80"/>
    <w:rsid w:val="00CA5708"/>
    <w:rsid w:val="00CE3A47"/>
    <w:rsid w:val="00CE67ED"/>
    <w:rsid w:val="00CF50CC"/>
    <w:rsid w:val="00D23A1F"/>
    <w:rsid w:val="00DB32D6"/>
    <w:rsid w:val="00DC464F"/>
    <w:rsid w:val="00E22425"/>
    <w:rsid w:val="00E50683"/>
    <w:rsid w:val="00EA6447"/>
    <w:rsid w:val="00ED1DAC"/>
    <w:rsid w:val="00F03D59"/>
    <w:rsid w:val="00F071D1"/>
    <w:rsid w:val="00F90A94"/>
    <w:rsid w:val="00FE3724"/>
    <w:rsid w:val="00FE3F04"/>
    <w:rsid w:val="00FF0A56"/>
    <w:rsid w:val="459C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uiPriority="99" w:semiHidden="0" w:name="annotation text"/>
    <w:lsdException w:uiPriority="99" w:semiHidden="0" w:name="header"/>
    <w:lsdException w:uiPriority="99" w:semiHidden="0" w:name="footer"/>
    <w:lsdException w:qFormat="1" w:unhideWhenUsed="0" w:uiPriority="99" w:semiHidden="0" w:name="index heading"/>
    <w:lsdException w:qFormat="1" w:uiPriority="35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name="Default Paragraph Font"/>
    <w:lsdException w:qFormat="1" w:uiPriority="1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uiPriority="99" w:name="Normal Table"/>
    <w:lsdException w:qFormat="1" w:unhideWhenUsed="0" w:uiPriority="99" w:semiHidden="0" w:name="annotation subject"/>
    <w:lsdException w:qFormat="1" w:uiPriority="99" w:name="Table Simple 1"/>
    <w:lsdException w:qFormat="1" w:uiPriority="99" w:name="Table Simple 2"/>
    <w:lsdException w:qFormat="1" w:uiPriority="99" w:name="Table Simple 3"/>
    <w:lsdException w:qFormat="1" w:uiPriority="99" w:name="Table Classic 1"/>
    <w:lsdException w:qFormat="1" w:uiPriority="99" w:name="Table Classic 2"/>
    <w:lsdException w:qFormat="1" w:uiPriority="99" w:name="Table Classic 3"/>
    <w:lsdException w:qFormat="1" w:uiPriority="99" w:name="Table Classic 4"/>
    <w:lsdException w:qFormat="1" w:uiPriority="99" w:name="Table Colorful 1"/>
    <w:lsdException w:qFormat="1" w:uiPriority="99" w:name="Table Colorful 2"/>
    <w:lsdException w:qFormat="1" w:uiPriority="99" w:name="Table Colorful 3"/>
    <w:lsdException w:qFormat="1" w:uiPriority="99" w:name="Table Columns 1"/>
    <w:lsdException w:qFormat="1" w:uiPriority="99" w:name="Table Columns 2"/>
    <w:lsdException w:qFormat="1" w:uiPriority="99" w:name="Table Columns 3"/>
    <w:lsdException w:qFormat="1" w:uiPriority="99" w:name="Table Columns 4"/>
    <w:lsdException w:qFormat="1" w:uiPriority="99" w:name="Table Columns 5"/>
    <w:lsdException w:qFormat="1" w:uiPriority="99" w:name="Table Grid 1"/>
    <w:lsdException w:qFormat="1" w:uiPriority="99" w:name="Table Grid 2"/>
    <w:lsdException w:qFormat="1" w:uiPriority="99" w:name="Table Grid 3"/>
    <w:lsdException w:qFormat="1" w:uiPriority="99" w:name="Table Grid 4"/>
    <w:lsdException w:qFormat="1" w:uiPriority="99" w:name="Table Grid 5"/>
    <w:lsdException w:qFormat="1" w:uiPriority="99" w:name="Table Grid 6"/>
    <w:lsdException w:qFormat="1" w:uiPriority="99" w:name="Table Grid 7"/>
    <w:lsdException w:qFormat="1" w:uiPriority="99" w:name="Table Grid 8"/>
    <w:lsdException w:qFormat="1" w:uiPriority="99" w:name="Table List 1"/>
    <w:lsdException w:qFormat="1" w:uiPriority="99" w:name="Table List 2"/>
    <w:lsdException w:qFormat="1" w:uiPriority="99" w:name="Table List 3"/>
    <w:lsdException w:qFormat="1" w:uiPriority="99" w:name="Table List 4"/>
    <w:lsdException w:qFormat="1" w:uiPriority="99" w:name="Table List 5"/>
    <w:lsdException w:qFormat="1" w:uiPriority="99" w:name="Table List 6"/>
    <w:lsdException w:qFormat="1" w:uiPriority="99" w:name="Table List 7"/>
    <w:lsdException w:qFormat="1" w:uiPriority="99" w:name="Table List 8"/>
    <w:lsdException w:qFormat="1" w:uiPriority="99" w:name="Table 3D effects 1"/>
    <w:lsdException w:qFormat="1" w:uiPriority="99" w:name="Table 3D effects 2"/>
    <w:lsdException w:qFormat="1" w:uiPriority="99" w:name="Table 3D effects 3"/>
    <w:lsdException w:qFormat="1" w:uiPriority="99" w:name="Table Contemporary"/>
    <w:lsdException w:qFormat="1" w:uiPriority="99" w:name="Table Elegant"/>
    <w:lsdException w:qFormat="1" w:uiPriority="99" w:name="Table Professional"/>
    <w:lsdException w:qFormat="1" w:uiPriority="99" w:name="Table Subtle 1"/>
    <w:lsdException w:qFormat="1" w:uiPriority="99" w:name="Table Subtle 2"/>
    <w:lsdException w:qFormat="1" w:uiPriority="99" w:name="Table Web 1"/>
    <w:lsdException w:qFormat="1" w:uiPriority="99" w:name="Table Web 2"/>
    <w:lsdException w:qFormat="1" w:uiPriority="99" w:name="Table Web 3"/>
    <w:lsdException w:uiPriority="99" w:semiHidden="0" w:name="Balloon Text"/>
    <w:lsdException w:qFormat="1" w:unhideWhenUsed="0" w:uiPriority="39" w:semiHidden="0" w:name="Table Grid"/>
    <w:lsdException w:qFormat="1"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kern w:val="0"/>
      <w:sz w:val="22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link w:val="16"/>
    <w:qFormat/>
    <w:uiPriority w:val="1"/>
    <w:pPr>
      <w:ind w:left="1475" w:right="1873"/>
      <w:jc w:val="center"/>
      <w:outlineLvl w:val="0"/>
    </w:pPr>
    <w:rPr>
      <w:sz w:val="48"/>
      <w:szCs w:val="48"/>
    </w:rPr>
  </w:style>
  <w:style w:type="paragraph" w:styleId="3">
    <w:name w:val="heading 2"/>
    <w:basedOn w:val="1"/>
    <w:link w:val="19"/>
    <w:qFormat/>
    <w:uiPriority w:val="1"/>
    <w:pPr>
      <w:spacing w:before="61"/>
      <w:ind w:left="642"/>
      <w:outlineLvl w:val="1"/>
    </w:pPr>
    <w:rPr>
      <w:rFonts w:ascii="明黑等宽" w:eastAsia="明黑等宽" w:cs="明黑等宽"/>
      <w:b/>
      <w:sz w:val="28"/>
      <w:szCs w:val="28"/>
    </w:rPr>
  </w:style>
  <w:style w:type="paragraph" w:styleId="4">
    <w:name w:val="heading 3"/>
    <w:basedOn w:val="1"/>
    <w:link w:val="18"/>
    <w:qFormat/>
    <w:uiPriority w:val="1"/>
    <w:pPr>
      <w:spacing w:before="1"/>
      <w:ind w:left="220"/>
      <w:outlineLvl w:val="2"/>
    </w:pPr>
    <w:rPr>
      <w:rFonts w:ascii="明黑等宽" w:eastAsia="明黑等宽" w:cs="明黑等宽"/>
      <w:b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unhideWhenUsed/>
    <w:uiPriority w:val="99"/>
    <w:pPr>
      <w:autoSpaceDE/>
      <w:autoSpaceDN/>
      <w:adjustRightInd/>
    </w:pPr>
    <w:rPr>
      <w:rFonts w:ascii="Calibri" w:hAnsi="Calibri" w:cs="Times New Roman"/>
      <w:kern w:val="2"/>
      <w:sz w:val="21"/>
    </w:rPr>
  </w:style>
  <w:style w:type="paragraph" w:styleId="6">
    <w:name w:val="Body Text"/>
    <w:basedOn w:val="1"/>
    <w:link w:val="22"/>
    <w:unhideWhenUsed/>
    <w:qFormat/>
    <w:uiPriority w:val="1"/>
    <w:rPr>
      <w:sz w:val="24"/>
      <w:szCs w:val="24"/>
    </w:rPr>
  </w:style>
  <w:style w:type="paragraph" w:styleId="7">
    <w:name w:val="Balloon Text"/>
    <w:basedOn w:val="1"/>
    <w:link w:val="21"/>
    <w:unhideWhenUsed/>
    <w:uiPriority w:val="99"/>
    <w:rPr>
      <w:sz w:val="18"/>
      <w:szCs w:val="18"/>
    </w:rPr>
  </w:style>
  <w:style w:type="paragraph" w:styleId="8">
    <w:name w:val="footer"/>
    <w:basedOn w:val="1"/>
    <w:link w:val="29"/>
    <w:unhideWhenUsed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unhideWhenUsed/>
    <w:qFormat/>
    <w:uiPriority w:val="99"/>
    <w:pPr>
      <w:widowControl/>
      <w:autoSpaceDE/>
      <w:autoSpaceDN/>
      <w:adjustRightInd/>
      <w:spacing w:before="100" w:beforeAutospacing="1" w:after="100" w:afterAutospacing="1"/>
    </w:pPr>
    <w:rPr>
      <w:rFonts w:hAnsi="宋体"/>
      <w:sz w:val="24"/>
      <w:szCs w:val="24"/>
    </w:rPr>
  </w:style>
  <w:style w:type="paragraph" w:styleId="11">
    <w:name w:val="annotation subject"/>
    <w:basedOn w:val="5"/>
    <w:next w:val="5"/>
    <w:link w:val="34"/>
    <w:qFormat/>
    <w:uiPriority w:val="99"/>
    <w:pPr>
      <w:autoSpaceDE w:val="0"/>
      <w:autoSpaceDN w:val="0"/>
      <w:adjustRightInd w:val="0"/>
    </w:pPr>
    <w:rPr>
      <w:rFonts w:ascii="宋体" w:hAnsi="Times New Roman" w:cs="宋体"/>
      <w:b/>
      <w:bCs/>
      <w:kern w:val="0"/>
      <w:sz w:val="22"/>
    </w:rPr>
  </w:style>
  <w:style w:type="character" w:styleId="14">
    <w:name w:val="Strong"/>
    <w:basedOn w:val="13"/>
    <w:qFormat/>
    <w:uiPriority w:val="99"/>
    <w:rPr>
      <w:b/>
    </w:rPr>
  </w:style>
  <w:style w:type="character" w:styleId="15">
    <w:name w:val="annotation reference"/>
    <w:basedOn w:val="13"/>
    <w:unhideWhenUsed/>
    <w:uiPriority w:val="99"/>
    <w:rPr>
      <w:sz w:val="21"/>
      <w:szCs w:val="21"/>
    </w:rPr>
  </w:style>
  <w:style w:type="character" w:customStyle="1" w:styleId="16">
    <w:name w:val="标题 1 字符"/>
    <w:basedOn w:val="13"/>
    <w:link w:val="2"/>
    <w:uiPriority w:val="9"/>
    <w:rPr>
      <w:rFonts w:ascii="宋体" w:cs="宋体"/>
      <w:b/>
      <w:bCs/>
      <w:kern w:val="44"/>
      <w:sz w:val="44"/>
      <w:szCs w:val="44"/>
    </w:rPr>
  </w:style>
  <w:style w:type="character" w:customStyle="1" w:styleId="17">
    <w:name w:val="link-new"/>
    <w:basedOn w:val="13"/>
    <w:unhideWhenUsed/>
    <w:qFormat/>
    <w:uiPriority w:val="0"/>
  </w:style>
  <w:style w:type="character" w:customStyle="1" w:styleId="18">
    <w:name w:val="标题 3 字符"/>
    <w:basedOn w:val="13"/>
    <w:link w:val="4"/>
    <w:semiHidden/>
    <w:uiPriority w:val="9"/>
    <w:rPr>
      <w:rFonts w:ascii="宋体" w:cs="宋体"/>
      <w:b/>
      <w:bCs/>
      <w:kern w:val="0"/>
      <w:sz w:val="32"/>
      <w:szCs w:val="32"/>
    </w:rPr>
  </w:style>
  <w:style w:type="character" w:customStyle="1" w:styleId="19">
    <w:name w:val="标题 2 字符"/>
    <w:basedOn w:val="13"/>
    <w:link w:val="3"/>
    <w:unhideWhenUsed/>
    <w:locked/>
    <w:uiPriority w:val="1"/>
    <w:rPr>
      <w:rFonts w:ascii="Cambria" w:hAnsi="Cambria"/>
      <w:b/>
      <w:sz w:val="32"/>
      <w:szCs w:val="32"/>
    </w:rPr>
  </w:style>
  <w:style w:type="character" w:customStyle="1" w:styleId="20">
    <w:name w:val="15"/>
    <w:basedOn w:val="13"/>
    <w:unhideWhenUsed/>
    <w:uiPriority w:val="0"/>
    <w:rPr>
      <w:rFonts w:ascii="Calibri" w:hAnsi="Calibri" w:cs="Calibri"/>
      <w:sz w:val="21"/>
      <w:szCs w:val="21"/>
    </w:rPr>
  </w:style>
  <w:style w:type="character" w:customStyle="1" w:styleId="21">
    <w:name w:val="批注框文本 字符1"/>
    <w:basedOn w:val="13"/>
    <w:link w:val="7"/>
    <w:unhideWhenUsed/>
    <w:qFormat/>
    <w:locked/>
    <w:uiPriority w:val="99"/>
    <w:rPr>
      <w:rFonts w:ascii="宋体" w:cs="宋体"/>
      <w:sz w:val="18"/>
      <w:szCs w:val="18"/>
    </w:rPr>
  </w:style>
  <w:style w:type="character" w:customStyle="1" w:styleId="22">
    <w:name w:val="正文文本 字符1"/>
    <w:basedOn w:val="13"/>
    <w:link w:val="6"/>
    <w:unhideWhenUsed/>
    <w:locked/>
    <w:uiPriority w:val="99"/>
    <w:rPr>
      <w:rFonts w:ascii="宋体" w:cs="宋体"/>
      <w:sz w:val="22"/>
    </w:rPr>
  </w:style>
  <w:style w:type="character" w:customStyle="1" w:styleId="23">
    <w:name w:val="批注文字 字符1"/>
    <w:basedOn w:val="13"/>
    <w:link w:val="5"/>
    <w:unhideWhenUsed/>
    <w:locked/>
    <w:uiPriority w:val="99"/>
    <w:rPr>
      <w:sz w:val="22"/>
      <w:szCs w:val="22"/>
    </w:rPr>
  </w:style>
  <w:style w:type="character" w:customStyle="1" w:styleId="24">
    <w:name w:val="10"/>
    <w:basedOn w:val="13"/>
    <w:unhideWhenUsed/>
    <w:uiPriority w:val="0"/>
    <w:rPr>
      <w:rFonts w:ascii="Calibri" w:hAnsi="Calibri" w:cs="Calibri"/>
    </w:rPr>
  </w:style>
  <w:style w:type="character" w:customStyle="1" w:styleId="25">
    <w:name w:val="style121"/>
    <w:basedOn w:val="13"/>
    <w:unhideWhenUsed/>
    <w:qFormat/>
    <w:uiPriority w:val="0"/>
    <w:rPr>
      <w:sz w:val="22"/>
      <w:szCs w:val="22"/>
    </w:rPr>
  </w:style>
  <w:style w:type="character" w:customStyle="1" w:styleId="26">
    <w:name w:val="批注文字 字符"/>
    <w:basedOn w:val="13"/>
    <w:semiHidden/>
    <w:uiPriority w:val="99"/>
    <w:rPr>
      <w:rFonts w:ascii="宋体" w:cs="宋体"/>
      <w:kern w:val="0"/>
      <w:sz w:val="22"/>
    </w:rPr>
  </w:style>
  <w:style w:type="character" w:customStyle="1" w:styleId="27">
    <w:name w:val="正文文本 字符"/>
    <w:basedOn w:val="13"/>
    <w:semiHidden/>
    <w:qFormat/>
    <w:uiPriority w:val="99"/>
    <w:rPr>
      <w:rFonts w:ascii="宋体" w:cs="宋体"/>
      <w:kern w:val="0"/>
      <w:sz w:val="22"/>
    </w:rPr>
  </w:style>
  <w:style w:type="character" w:customStyle="1" w:styleId="28">
    <w:name w:val="批注框文本 字符"/>
    <w:basedOn w:val="13"/>
    <w:semiHidden/>
    <w:uiPriority w:val="99"/>
    <w:rPr>
      <w:rFonts w:ascii="宋体" w:cs="宋体"/>
      <w:kern w:val="0"/>
      <w:sz w:val="18"/>
      <w:szCs w:val="18"/>
    </w:rPr>
  </w:style>
  <w:style w:type="character" w:customStyle="1" w:styleId="29">
    <w:name w:val="页脚 字符"/>
    <w:basedOn w:val="13"/>
    <w:link w:val="8"/>
    <w:semiHidden/>
    <w:uiPriority w:val="99"/>
    <w:rPr>
      <w:rFonts w:ascii="宋体" w:cs="宋体"/>
      <w:kern w:val="0"/>
      <w:sz w:val="18"/>
      <w:szCs w:val="18"/>
    </w:rPr>
  </w:style>
  <w:style w:type="character" w:customStyle="1" w:styleId="30">
    <w:name w:val="页眉 字符"/>
    <w:basedOn w:val="13"/>
    <w:link w:val="9"/>
    <w:semiHidden/>
    <w:uiPriority w:val="99"/>
    <w:rPr>
      <w:rFonts w:ascii="宋体" w:cs="宋体"/>
      <w:kern w:val="0"/>
      <w:sz w:val="18"/>
      <w:szCs w:val="18"/>
    </w:rPr>
  </w:style>
  <w:style w:type="paragraph" w:customStyle="1" w:styleId="31">
    <w:name w:val="Table Paragraph"/>
    <w:basedOn w:val="1"/>
    <w:unhideWhenUsed/>
    <w:qFormat/>
    <w:uiPriority w:val="1"/>
    <w:rPr>
      <w:sz w:val="24"/>
      <w:szCs w:val="24"/>
    </w:rPr>
  </w:style>
  <w:style w:type="paragraph" w:customStyle="1" w:styleId="32">
    <w:name w:val="列出段落2"/>
    <w:basedOn w:val="1"/>
    <w:unhideWhenUsed/>
    <w:qFormat/>
    <w:uiPriority w:val="99"/>
    <w:pPr>
      <w:autoSpaceDE/>
      <w:autoSpaceDN/>
      <w:adjustRightInd/>
      <w:ind w:firstLine="420" w:firstLineChars="200"/>
      <w:jc w:val="both"/>
    </w:pPr>
    <w:rPr>
      <w:rFonts w:ascii="Times New Roman" w:cs="Times New Roman"/>
      <w:kern w:val="2"/>
      <w:sz w:val="21"/>
      <w:szCs w:val="24"/>
    </w:rPr>
  </w:style>
  <w:style w:type="paragraph" w:styleId="33">
    <w:name w:val="List Paragraph"/>
    <w:basedOn w:val="1"/>
    <w:qFormat/>
    <w:uiPriority w:val="34"/>
    <w:pPr>
      <w:spacing w:before="154"/>
      <w:ind w:left="220" w:hanging="360"/>
    </w:pPr>
    <w:rPr>
      <w:sz w:val="24"/>
      <w:szCs w:val="24"/>
    </w:rPr>
  </w:style>
  <w:style w:type="character" w:customStyle="1" w:styleId="34">
    <w:name w:val="批注主题 字符"/>
    <w:basedOn w:val="23"/>
    <w:link w:val="11"/>
    <w:uiPriority w:val="99"/>
    <w:rPr>
      <w:rFonts w:ascii="宋体" w:cs="宋体"/>
      <w:b/>
      <w:bCs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5074</Words>
  <Characters>5498</Characters>
  <Lines>47</Lines>
  <Paragraphs>13</Paragraphs>
  <TotalTime>3</TotalTime>
  <ScaleCrop>false</ScaleCrop>
  <LinksUpToDate>false</LinksUpToDate>
  <CharactersWithSpaces>5548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2024-05-30T07:19:00Z</dcterms:created>
  <dc:creator>Administrator</dc:creator>
  <cp:lastModifiedBy>杨登辉</cp:lastModifiedBy>
  <dcterms:modified xsi:type="dcterms:W3CDTF">2025-08-01T12:22:55Z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eyJoZGlkIjoiZjIxMDk3NTkzNTllZGI1YmQ4ODYzOTRlYTNmMzZjY2MiLCJ1c2VySWQiOiIxNjE2MTgyNjAyIn0=</vt:lpwstr>
  </property>
  <property fmtid="{D5CDD505-2E9C-101B-9397-08002B2CF9AE}" pid="3" name="KSOProductBuildVer">
    <vt:lpwstr>2052-12.1.0.21915</vt:lpwstr>
  </property>
  <property fmtid="{D5CDD505-2E9C-101B-9397-08002B2CF9AE}" pid="4" name="ICV">
    <vt:lpwstr>A0B945C1896D4C068EE7D68CBC7DCEC5_12</vt:lpwstr>
  </property>
</Properties>
</file>